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120"/>
        <w:ind w:left="0" w:right="0" w:hanging="360"/>
        <w:jc w:val="left"/>
        <w:rPr/>
      </w:pPr>
      <w:r>
        <w:rPr>
          <w:rFonts w:ascii="Wingdings;sans-serif" w:hAnsi="Wingdings;sans-serif"/>
          <w:b w:val="false"/>
          <w:color w:val="000000"/>
          <w:sz w:val="20"/>
        </w:rPr>
        <w:t>x</w:t>
      </w: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240"/>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 to 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Number 001-42125</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Waystar Holding Corp.</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635" w:type="dxa"/>
        <w:jc w:val="left"/>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84-2886542</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1550 Digital Drive, #300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Lehi, Utah 84043</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84043</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(844) 492-9782</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28"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WAY</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64" w:before="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64" w:before="0" w:after="120"/>
        <w:jc w:val="left"/>
        <w:rPr/>
      </w:pPr>
      <w:r>
        <w:rPr>
          <w:rFonts w:ascii="Times New Roman;serif" w:hAnsi="Times New Roman;serif"/>
          <w:b w:val="false"/>
          <w:color w:val="000000"/>
          <w:sz w:val="18"/>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64" w:before="0" w:after="2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64"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4" w:before="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64" w:before="0" w:after="60"/>
        <w:jc w:val="left"/>
        <w:rPr/>
      </w:pPr>
      <w:r>
        <w:rPr>
          <w:rFonts w:ascii="Times New Roman;serif" w:hAnsi="Times New Roman;serif"/>
          <w:b w:val="false"/>
          <w:color w:val="000000"/>
          <w:sz w:val="18"/>
        </w:rPr>
        <w:t xml:space="preserve">The registrant had outstanding </w:t>
      </w:r>
      <w:r>
        <w:rPr>
          <w:rFonts w:ascii="Times New Roman;serif" w:hAnsi="Times New Roman;serif"/>
          <w:b w:val="false"/>
          <w:color w:val="000000"/>
          <w:sz w:val="18"/>
          <w:shd w:fill="FFFFFF" w:val="clear"/>
        </w:rPr>
        <w:t>191,316,583</w:t>
      </w:r>
      <w:r>
        <w:rPr>
          <w:color w:val="000000"/>
        </w:rPr>
        <w:t xml:space="preserve"> </w:t>
      </w:r>
      <w:r>
        <w:rPr>
          <w:rFonts w:ascii="Times New Roman;serif" w:hAnsi="Times New Roman;serif"/>
          <w:b w:val="false"/>
          <w:color w:val="000000"/>
          <w:sz w:val="18"/>
        </w:rPr>
        <w:t>shares of common stock as of October 20,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56260"/>
                <wp:effectExtent l="0" t="0" r="0" b="0"/>
                <wp:wrapNone/>
                <wp:docPr id="1" name="Frame1"/>
                <a:graphic xmlns:a="http://schemas.openxmlformats.org/drawingml/2006/main">
                  <a:graphicData uri="http://schemas.microsoft.com/office/word/2010/wordprocessingShape">
                    <wps:wsp>
                      <wps:cNvSpPr txBox="1"/>
                      <wps:spPr>
                        <a:xfrm>
                          <a:off x="0" y="0"/>
                          <a:ext cx="6480175" cy="556260"/>
                        </a:xfrm>
                        <a:prstGeom prst="rect"/>
                        <a:solidFill>
                          <a:srgbClr val="FFFFFF"/>
                        </a:solidFill>
                      </wps:spPr>
                      <wps:txbx>
                        <w:txbxContent>
                          <w:p>
                            <w:pPr>
                              <w:pStyle w:val="TextBody"/>
                              <w:bidi w:val="0"/>
                              <w:spacing w:before="60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0" w:after="240"/>
                        <w:jc w:val="center"/>
                        <w:rPr/>
                      </w:pPr>
                      <w:r>
                        <w:rPr/>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Glossary</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definitions apply to these terms as used in this Quarterly Report on Form 10-Q:</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AI” means artificial intelligence;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Bain” means those certain investment funds of Bain Capital, LP and its affiliates;</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CPPIB” means Canada Pension Plan Investment Board;</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Credit Facilities” means, collectively, the First Lien Credit Facility, the Revolving Credit Facility, and the Receivables Facility;</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Derby Topco” means Derby TopCo Partnership LP, our direct parent entity prior to the Equity Distribution, in which the Institutional Investors, other equity holders, and certain members of management previously held equity interests;</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EQT” means those certain investment funds of EQT AB and its affiliates;</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Equity Distribution” means the distribution of shares of common stock of the Company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common stock of the Company;</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Exchange Act” means the U.S. Securities Exchange Act of 1934, as amended;</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First Lien Credit Facility” means the term loan credit facility under the first lien credit agreement, dated as of October 22, 2019, by and among Waystar Technologies, Inc. and the lenders party thereto, as amended from time to time;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GAAP” means U.S. generally accepted accounting principles;</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Institutional Investors” means EQT, CPPIB, and Bain, and their respective affiliates;</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JOBS Act” means the U.S. Jumpstart Our Business Startups Act of 2012, as amended;</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Net Revenue Retention Rate” means the total amount invoiced to clients in a given twelve-month period divided by the total amount invoiced to those same clients from the prior twelve-month period. See “Management’s Discussion and Analysis of Financial Condition and Results of Operations—Key Performance Metrics and Non-GAAP Financial Measures—Net Revenue Retention Rate”;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2024 Form 10-K” means the 2024 Form 10-K filed with the SEC by Waystar Holding Corp. on February 18, 2025;</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Revolving Credit Facility” means the revolving credit facility under the first lien credit agreement, dated as of October 22, 2019, by and among Waystar Technologies, Inc. and the lenders party thereto, as amended from time to time;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SEC” means the U.S. Securities and Exchange Commission;</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Second Lien Credit Facility” means the term loan credit facility under the second lien credit agreement, dated as of October 22, 2019, by and among Waystar Technologies, Inc. and the lenders party thereto, as amended from time to time;</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Securities Act” means the U.S. Securities Act of 1933, as amended;</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SOFR” means the Secured Overnight Financing Rate; and</w:t>
      </w:r>
    </w:p>
    <w:p>
      <w:pPr>
        <w:pStyle w:val="TextBody"/>
        <w:bidi w:val="0"/>
        <w:spacing w:lineRule="auto" w:line="288" w:before="0" w:after="240"/>
        <w:ind w:left="0" w:right="0" w:firstLine="360"/>
        <w:jc w:val="left"/>
        <w:rPr>
          <w:color w:val="000000"/>
        </w:rPr>
      </w:pPr>
      <w:r>
        <w:rPr>
          <w:color w:val="000000"/>
        </w:rPr>
        <w:t>“</w:t>
      </w:r>
      <w:r>
        <w:rPr>
          <w:rFonts w:ascii="Times New Roman;serif" w:hAnsi="Times New Roman;serif"/>
          <w:b w:val="false"/>
          <w:color w:val="000000"/>
          <w:sz w:val="20"/>
        </w:rPr>
        <w:t>Waystar,” the “Company,” “we,” “us,” and “our” mean the business of Waystar Holding Corp.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numerical figures have been subject to rounding adjustments. Accordingly, numerical figures shown as totals in various tables may not be arithmetic aggregations of the figures that precede them.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operation in a highly competitive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retain our existing clients and attract new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execute on our business strategies in order to grow;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accurately assess the risks related to acquisitions and successfully integrate acquired businesses, including the acquisition of Iodine Software Holdings, Inc. (“Iodine”);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establish and maintain strategic relationships;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growth and success of our clients and overall healthcare transaction volumes;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consolidation in the healthcare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selling cycle of variable length to secure new client agreements;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implementation cycle that is dependent on our clients’ timing and resources;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dependence on our senior management team and certain key employees, and our ability to attract and retain highly skilled employees;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accuracy of the estimates and assumptions we use to determine the size of our total addressable market;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develop and market new solutions, or enhance our existing solutions, to respond to technological changes, or evolving industry standards;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interoperability, connectivity, and integration of our solutions with our clients’ and their vendors’ networks and infrastructures;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performance and reliability of internet, mobile, and other infrastructure;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consequences if we cannot obtain, process, use, disclose, or distribute the highly regulated data we require to provide our solutions;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reliance on certain third-party vendors and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errors or malfunctions in our products and solutions;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by our clients to obtain proper permissions or provide us with accurate and appropriate information;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for embezzlement, identity theft, or other similar illegal behavior by our employees or vendors, and a failure of our employees or vendors to observe quality standards or adhere to environmental, social, and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compliance with the applicable rules of the National Automated Clearing House Association and the applicable requirements of card networks;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increases in card network fees and other changes to fee arrangements;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 of payer and provider conduct which we cannot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privacy concerns and security breaches or incidents relating to our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complex and evolving laws and regulations regarding privacy, data protection, and cybersecurity;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adequately protect and enforce our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use or license data and integrate third-party technologies;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use of “open source” software;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legal proceedings initiated by third parties alleging that we are infringing or otherwise violating their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claims that our employees, consultants, or independent contractors have wrongfully used or disclosed confidential information of third parties;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heavily regulated industry in which we conduct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uncertain and evolving healthcare regulatory and political framework;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health care laws and data privacy and security laws and regulations governing our Processing of personal information;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reduced revenues in response to changes to the healthcare regulatory landscape;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legal, regulatory, and other proceedings that could result in adverse outcomes;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consumer protection laws and regulations;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contractual obligations requiring compliance with certain provisions of Bank Secrecy Act/anti-money laundering laws and regulations;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existing laws that regulate our ability to engage in certain marketing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full compliance with website accessibility standards;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changes in our tax rates, the adoption of new tax legislation, or exposure to additional tax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limitations on our ability to use our net operating losses to offset future taxable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losses due to asset impairment charges;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restrictive covenants in the agreements governing our Credit Facilities;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interest rate fluctuations;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unavailability of additional capital on acceptable terms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general macroeconomic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history of net losses and our ability to achieve or maintain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interests of the Institutional Investors may be different than the interests of other holders of our securities;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status as an “emerging growth company” and whether the reduced disclosure requirements applicable to “emerging growth companies” will make our common stock less attractive to investors;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other factors described elsewhere in this report, including under the headings “Management’s Discussion and Analysis of Financial Condition and Results of Operations,” “Quantitative and Qualitative Disclosures About Market Risk” and Part II, Item 1A, “Risk Factors” or as described under the heading “Risk factors” in our 2024 Form 10-K, or as described in the other documents and reports we file with the SEC.</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routinely announce financial and other material information using our Investor Relations website (investors.waystar.com),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31" w:type="dxa"/>
        <w:jc w:val="left"/>
        <w:tblInd w:w="0" w:type="dxa"/>
        <w:tblLayout w:type="fixed"/>
        <w:tblCellMar>
          <w:top w:w="28" w:type="dxa"/>
          <w:left w:w="28" w:type="dxa"/>
          <w:bottom w:w="28" w:type="dxa"/>
          <w:right w:w="28" w:type="dxa"/>
        </w:tblCellMar>
      </w:tblPr>
      <w:tblGrid>
        <w:gridCol w:w="2958"/>
        <w:gridCol w:w="2597"/>
        <w:gridCol w:w="2605"/>
        <w:gridCol w:w="167"/>
        <w:gridCol w:w="167"/>
        <w:gridCol w:w="237"/>
      </w:tblGrid>
      <w:tr>
        <w:trPr/>
        <w:tc>
          <w:tcPr>
            <w:tcW w:w="2958"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c1154a7f494eb98665b6e2e67bcada_13">
              <w:r>
                <w:rPr>
                  <w:rStyle w:val="InternetLink"/>
                  <w:rFonts w:ascii="Times New Roman;serif" w:hAnsi="Times New Roman;serif"/>
                  <w:b/>
                  <w:color w:val="0000FF"/>
                  <w:sz w:val="20"/>
                  <w:u w:val="single"/>
                </w:rPr>
                <w:t>Part I - Financial Information</w:t>
              </w:r>
            </w:hyperlink>
          </w:p>
        </w:tc>
        <w:tc>
          <w:tcPr>
            <w:tcW w:w="5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6">
              <w:r>
                <w:rPr>
                  <w:rStyle w:val="InternetLink"/>
                  <w:rFonts w:ascii="Times New Roman;serif" w:hAnsi="Times New Roman;serif"/>
                  <w:b w:val="false"/>
                  <w:color w:val="0000FF"/>
                  <w:sz w:val="20"/>
                  <w:u w:val="single"/>
                </w:rPr>
                <w:t>Item 1.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6">
              <w:r>
                <w:rPr>
                  <w:rStyle w:val="InternetLink"/>
                  <w:rFonts w:ascii="Times New Roman;serif" w:hAnsi="Times New Roman;serif"/>
                  <w:b w:val="false"/>
                  <w:strike w:val="false"/>
                  <w:dstrike w:val="false"/>
                  <w:color w:val="000000"/>
                  <w:sz w:val="20"/>
                  <w:u w:val="none"/>
                  <w:effect w:val="none"/>
                </w:rPr>
                <w:t>1</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19">
              <w:r>
                <w:rPr>
                  <w:rStyle w:val="InternetLink"/>
                  <w:rFonts w:ascii="Times New Roman;serif" w:hAnsi="Times New Roman;serif"/>
                  <w:b w:val="false"/>
                  <w:color w:val="0000FF"/>
                  <w:sz w:val="20"/>
                  <w:u w:val="single"/>
                </w:rPr>
                <w:t>Unaudited 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9">
              <w:r>
                <w:rPr>
                  <w:rStyle w:val="InternetLink"/>
                  <w:rFonts w:ascii="Times New Roman;serif" w:hAnsi="Times New Roman;serif"/>
                  <w:b w:val="false"/>
                  <w:strike w:val="false"/>
                  <w:dstrike w:val="false"/>
                  <w:color w:val="000000"/>
                  <w:sz w:val="20"/>
                  <w:u w:val="none"/>
                  <w:effect w:val="none"/>
                </w:rPr>
                <w:t>1</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22">
              <w:r>
                <w:rPr>
                  <w:rStyle w:val="InternetLink"/>
                  <w:rFonts w:ascii="Times New Roman;serif" w:hAnsi="Times New Roman;serif"/>
                  <w:b w:val="false"/>
                  <w:color w:val="0000FF"/>
                  <w:sz w:val="20"/>
                  <w:u w:val="single"/>
                </w:rPr>
                <w:t>Unaudited 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22">
              <w:r>
                <w:rPr>
                  <w:rStyle w:val="InternetLink"/>
                  <w:rFonts w:ascii="Times New Roman;serif" w:hAnsi="Times New Roman;serif"/>
                  <w:b w:val="false"/>
                  <w:strike w:val="false"/>
                  <w:dstrike w:val="false"/>
                  <w:color w:val="000000"/>
                  <w:sz w:val="20"/>
                  <w:u w:val="none"/>
                  <w:effect w:val="non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25">
              <w:r>
                <w:rPr>
                  <w:rStyle w:val="InternetLink"/>
                  <w:rFonts w:ascii="Times New Roman;serif" w:hAnsi="Times New Roman;serif"/>
                  <w:b w:val="false"/>
                  <w:color w:val="0000FF"/>
                  <w:sz w:val="20"/>
                  <w:u w:val="single"/>
                </w:rPr>
                <w:t>Unaudited Condensed Consolidated Statements of Comprehensive Income (Loss</w:t>
              </w:r>
            </w:hyperlink>
            <w:r>
              <w:rPr>
                <w:rFonts w:ascii="Times New Roman;serif" w:hAnsi="Times New Roman;serif"/>
                <w:b w:val="false"/>
                <w:color w:val="000000"/>
                <w:sz w:val="2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25">
              <w:r>
                <w:rPr>
                  <w:rStyle w:val="InternetLink"/>
                  <w:rFonts w:ascii="Times New Roman;serif" w:hAnsi="Times New Roman;serif"/>
                  <w:b w:val="false"/>
                  <w:strike w:val="false"/>
                  <w:dstrike w:val="false"/>
                  <w:color w:val="000000"/>
                  <w:sz w:val="20"/>
                  <w:u w:val="none"/>
                  <w:effect w:val="none"/>
                </w:rPr>
                <w:t>3</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28">
              <w:r>
                <w:rPr>
                  <w:rStyle w:val="InternetLink"/>
                  <w:rFonts w:ascii="Times New Roman;serif" w:hAnsi="Times New Roman;serif"/>
                  <w:b w:val="false"/>
                  <w:color w:val="0000FF"/>
                  <w:sz w:val="20"/>
                  <w:u w:val="single"/>
                </w:rPr>
                <w:t>Unaudited Condensed 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28">
              <w:r>
                <w:rPr>
                  <w:rStyle w:val="InternetLink"/>
                  <w:rFonts w:ascii="Times New Roman;serif" w:hAnsi="Times New Roman;serif"/>
                  <w:b w:val="false"/>
                  <w:strike w:val="false"/>
                  <w:dstrike w:val="false"/>
                  <w:color w:val="000000"/>
                  <w:sz w:val="20"/>
                  <w:u w:val="none"/>
                  <w:effect w:val="none"/>
                </w:rPr>
                <w:t>4</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31">
              <w:r>
                <w:rPr>
                  <w:rStyle w:val="InternetLink"/>
                  <w:rFonts w:ascii="Times New Roman;serif" w:hAnsi="Times New Roman;serif"/>
                  <w:b w:val="false"/>
                  <w:color w:val="0000FF"/>
                  <w:sz w:val="20"/>
                  <w:u w:val="single"/>
                </w:rPr>
                <w:t>Unaudited 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31">
              <w:r>
                <w:rPr>
                  <w:rStyle w:val="InternetLink"/>
                  <w:rFonts w:ascii="Times New Roman;serif" w:hAnsi="Times New Roman;serif"/>
                  <w:b w:val="false"/>
                  <w:strike w:val="false"/>
                  <w:dstrike w:val="false"/>
                  <w:color w:val="000000"/>
                  <w:sz w:val="20"/>
                  <w:u w:val="none"/>
                  <w:effect w:val="none"/>
                </w:rPr>
                <w:t>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17c1154a7f494eb98665b6e2e67bcada_34">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34">
              <w:r>
                <w:rPr>
                  <w:rStyle w:val="InternetLink"/>
                  <w:rFonts w:ascii="Times New Roman;serif" w:hAnsi="Times New Roman;serif"/>
                  <w:b w:val="false"/>
                  <w:strike w:val="false"/>
                  <w:dstrike w:val="false"/>
                  <w:color w:val="000000"/>
                  <w:sz w:val="20"/>
                  <w:u w:val="none"/>
                  <w:effect w:val="none"/>
                </w:rPr>
                <w:t>7</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0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00">
              <w:r>
                <w:rPr>
                  <w:rStyle w:val="InternetLink"/>
                  <w:rFonts w:ascii="Times New Roman;serif" w:hAnsi="Times New Roman;serif"/>
                  <w:b w:val="false"/>
                  <w:strike w:val="false"/>
                  <w:dstrike w:val="false"/>
                  <w:color w:val="000000"/>
                  <w:sz w:val="20"/>
                  <w:u w:val="none"/>
                  <w:effect w:val="none"/>
                </w:rPr>
                <w:t>26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39">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39">
              <w:r>
                <w:rPr>
                  <w:rStyle w:val="InternetLink"/>
                  <w:rFonts w:ascii="Times New Roman;serif" w:hAnsi="Times New Roman;serif"/>
                  <w:b w:val="false"/>
                  <w:strike w:val="false"/>
                  <w:dstrike w:val="false"/>
                  <w:color w:val="000000"/>
                  <w:sz w:val="20"/>
                  <w:u w:val="none"/>
                  <w:effect w:val="none"/>
                </w:rPr>
                <w:t>36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42">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42">
              <w:r>
                <w:rPr>
                  <w:rStyle w:val="InternetLink"/>
                  <w:rFonts w:ascii="Times New Roman;serif" w:hAnsi="Times New Roman;serif"/>
                  <w:b w:val="false"/>
                  <w:strike w:val="false"/>
                  <w:dstrike w:val="false"/>
                  <w:color w:val="000000"/>
                  <w:sz w:val="20"/>
                  <w:u w:val="none"/>
                  <w:effect w:val="none"/>
                </w:rPr>
                <w:t>37</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c1154a7f494eb98665b6e2e67bcada_145">
              <w:r>
                <w:rPr>
                  <w:rStyle w:val="InternetLink"/>
                  <w:rFonts w:ascii="Times New Roman;serif" w:hAnsi="Times New Roman;serif"/>
                  <w:b/>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48">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48">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51">
              <w:r>
                <w:rPr>
                  <w:rStyle w:val="InternetLink"/>
                  <w:rFonts w:ascii="Times New Roman;serif" w:hAnsi="Times New Roman;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51">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54">
              <w:r>
                <w:rPr>
                  <w:rStyle w:val="InternetLink"/>
                  <w:rFonts w:ascii="Times New Roman;serif" w:hAnsi="Times New Roman;serif"/>
                  <w:b w:val="false"/>
                  <w:color w:val="000080"/>
                  <w:sz w:val="20"/>
                  <w:u w:val="single"/>
                </w:rPr>
                <w:t>Item 2. Unregistered Sales of Equity Securities</w:t>
              </w:r>
            </w:hyperlink>
            <w:hyperlink w:anchor="i17c1154a7f494eb98665b6e2e67bcada_154">
              <w:r>
                <w:rPr>
                  <w:rStyle w:val="InternetLink"/>
                  <w:rFonts w:ascii="Times New Roman;serif" w:hAnsi="Times New Roman;serif"/>
                  <w:b w:val="false"/>
                  <w:color w:val="000080"/>
                  <w:sz w:val="20"/>
                  <w:u w:val="single"/>
                </w:rPr>
                <w:t xml:space="preserve"> and</w:t>
              </w:r>
            </w:hyperlink>
            <w:hyperlink w:anchor="i17c1154a7f494eb98665b6e2e67bcada_154">
              <w:r>
                <w:rPr>
                  <w:rStyle w:val="InternetLink"/>
                  <w:rFonts w:ascii="Times New Roman;serif" w:hAnsi="Times New Roman;serif"/>
                  <w:b w:val="false"/>
                  <w:color w:val="000080"/>
                  <w:sz w:val="20"/>
                  <w:u w:val="single"/>
                </w:rPr>
                <w:t xml:space="preserve"> Use of Proceeds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54">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57">
              <w:r>
                <w:rPr>
                  <w:rStyle w:val="InternetLink"/>
                  <w:rFonts w:ascii="Times New Roman;serif" w:hAnsi="Times New Roman;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57">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60">
              <w:r>
                <w:rPr>
                  <w:rStyle w:val="InternetLink"/>
                  <w:rFonts w:ascii="Times New Roman;serif" w:hAnsi="Times New Roman;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60">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63">
              <w:r>
                <w:rPr>
                  <w:rStyle w:val="InternetLink"/>
                  <w:rFonts w:ascii="Times New Roman;serif" w:hAnsi="Times New Roman;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63">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17c1154a7f494eb98665b6e2e67bcada_163">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63">
              <w:r>
                <w:rPr>
                  <w:rStyle w:val="InternetLink"/>
                  <w:rFonts w:ascii="Times New Roman;serif" w:hAnsi="Times New Roman;serif"/>
                  <w:b w:val="false"/>
                  <w:strike w:val="false"/>
                  <w:dstrike w:val="false"/>
                  <w:color w:val="000000"/>
                  <w:sz w:val="20"/>
                  <w:u w:val="none"/>
                  <w:effect w:val="none"/>
                </w:rPr>
                <w:t>38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c1154a7f494eb98665b6e2e67bcada_172">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c1154a7f494eb98665b6e2e67bcada_172">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96"/>
        <w:gridCol w:w="2188"/>
        <w:gridCol w:w="2108"/>
        <w:gridCol w:w="232"/>
        <w:gridCol w:w="1074"/>
        <w:gridCol w:w="119"/>
        <w:gridCol w:w="109"/>
        <w:gridCol w:w="109"/>
        <w:gridCol w:w="109"/>
        <w:gridCol w:w="229"/>
        <w:gridCol w:w="1061"/>
        <w:gridCol w:w="171"/>
      </w:tblGrid>
      <w:tr>
        <w:trPr/>
        <w:tc>
          <w:tcPr>
            <w:tcW w:w="269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99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$5,895 at September 30, 2025 and $5,885 at December 31, 2024</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613,582 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954,967 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1,039,049 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3,019,999 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4,746,356 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4,577,004 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Aggregated funds payable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current portion of long-term debt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liabilities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less current portion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1,185,411 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long-term debt, net, less current portion</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1,523,760 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19)</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- 100,000,000 and 100,000,000 shares authorized as of September 30, 2025 and December 31, 2024, respectively; zero shares issued or outstanding as of September 30, 2025 and December 31, 2024, respectively</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- 2,500,000,000 and 2,500,000,000 shares authorized at September 30, 2025 and December 31, 2024, respectively; 174,667,840 and 172,108,240 shares issued and outstanding at September 30, 2025 and December 31, 2024, respectively</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3,298,083 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(220,900)</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3,079,786 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4,746,356 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4,577,004 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781"/>
        <w:gridCol w:w="1394"/>
        <w:gridCol w:w="1409"/>
        <w:gridCol w:w="211"/>
        <w:gridCol w:w="830"/>
        <w:gridCol w:w="109"/>
        <w:gridCol w:w="109"/>
        <w:gridCol w:w="109"/>
        <w:gridCol w:w="109"/>
        <w:gridCol w:w="211"/>
        <w:gridCol w:w="830"/>
        <w:gridCol w:w="109"/>
        <w:gridCol w:w="109"/>
        <w:gridCol w:w="109"/>
        <w:gridCol w:w="109"/>
        <w:gridCol w:w="211"/>
        <w:gridCol w:w="826"/>
        <w:gridCol w:w="109"/>
        <w:gridCol w:w="109"/>
        <w:gridCol w:w="109"/>
        <w:gridCol w:w="109"/>
        <w:gridCol w:w="211"/>
        <w:gridCol w:w="826"/>
        <w:gridCol w:w="157"/>
      </w:tblGrid>
      <w:tr>
        <w:trPr/>
        <w:tc>
          <w:tcPr>
            <w:tcW w:w="17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expenses)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236,188 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117,945 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(122,759)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before income taxes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per share:</w:t>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174,352,079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173,388,077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181,240,033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176,181,511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181,165,738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 (Loss) (in Thousands)</w:t>
      </w:r>
    </w:p>
    <w:tbl>
      <w:tblPr>
        <w:tblW w:w="9487" w:type="dxa"/>
        <w:jc w:val="left"/>
        <w:tblInd w:w="0" w:type="dxa"/>
        <w:tblLayout w:type="fixed"/>
        <w:tblCellMar>
          <w:top w:w="28" w:type="dxa"/>
          <w:left w:w="28" w:type="dxa"/>
          <w:bottom w:w="28" w:type="dxa"/>
          <w:right w:w="28" w:type="dxa"/>
        </w:tblCellMar>
      </w:tblPr>
      <w:tblGrid>
        <w:gridCol w:w="1425"/>
        <w:gridCol w:w="1247"/>
        <w:gridCol w:w="1257"/>
        <w:gridCol w:w="234"/>
        <w:gridCol w:w="800"/>
        <w:gridCol w:w="121"/>
        <w:gridCol w:w="121"/>
        <w:gridCol w:w="121"/>
        <w:gridCol w:w="121"/>
        <w:gridCol w:w="234"/>
        <w:gridCol w:w="767"/>
        <w:gridCol w:w="121"/>
        <w:gridCol w:w="109"/>
        <w:gridCol w:w="109"/>
        <w:gridCol w:w="109"/>
        <w:gridCol w:w="216"/>
        <w:gridCol w:w="740"/>
        <w:gridCol w:w="111"/>
        <w:gridCol w:w="111"/>
        <w:gridCol w:w="111"/>
        <w:gridCol w:w="111"/>
        <w:gridCol w:w="216"/>
        <w:gridCol w:w="817"/>
        <w:gridCol w:w="158"/>
      </w:tblGrid>
      <w:tr>
        <w:trPr/>
        <w:tc>
          <w:tcPr>
            <w:tcW w:w="14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 net of tax</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reclassified out of accumulated other comprehensive income/(loss) into net interest expense included $2,171 and $8,788 for the three months ended September 30, 2025 and 2024, respectively, and included $4,060 and $26,085 for the nine months ended September 30, 2025 and 2024, respectively.</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income tax effects of amounts reclassified out of accumulated other comprehensive income/(loss) were ($534) and ($2,134) for the three months ended September 30, 2025 and 2024, respectively, and $(999) and $(6,334) for the nine months ended September 30, 2025 and 2024, respectively.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 (in Thousands, Except Share Data)</w:t>
      </w:r>
    </w:p>
    <w:tbl>
      <w:tblPr>
        <w:tblW w:w="10205" w:type="dxa"/>
        <w:jc w:val="left"/>
        <w:tblInd w:w="0" w:type="dxa"/>
        <w:tblLayout w:type="fixed"/>
        <w:tblCellMar>
          <w:top w:w="28" w:type="dxa"/>
          <w:left w:w="28" w:type="dxa"/>
          <w:bottom w:w="28" w:type="dxa"/>
          <w:right w:w="28" w:type="dxa"/>
        </w:tblCellMar>
      </w:tblPr>
      <w:tblGrid>
        <w:gridCol w:w="820"/>
        <w:gridCol w:w="327"/>
        <w:gridCol w:w="328"/>
        <w:gridCol w:w="379"/>
        <w:gridCol w:w="379"/>
        <w:gridCol w:w="383"/>
        <w:gridCol w:w="109"/>
        <w:gridCol w:w="109"/>
        <w:gridCol w:w="109"/>
        <w:gridCol w:w="211"/>
        <w:gridCol w:w="616"/>
        <w:gridCol w:w="109"/>
        <w:gridCol w:w="109"/>
        <w:gridCol w:w="109"/>
        <w:gridCol w:w="109"/>
        <w:gridCol w:w="211"/>
        <w:gridCol w:w="976"/>
        <w:gridCol w:w="109"/>
        <w:gridCol w:w="109"/>
        <w:gridCol w:w="109"/>
        <w:gridCol w:w="109"/>
        <w:gridCol w:w="320"/>
        <w:gridCol w:w="730"/>
        <w:gridCol w:w="166"/>
        <w:gridCol w:w="109"/>
        <w:gridCol w:w="109"/>
        <w:gridCol w:w="109"/>
        <w:gridCol w:w="211"/>
        <w:gridCol w:w="843"/>
        <w:gridCol w:w="109"/>
        <w:gridCol w:w="109"/>
        <w:gridCol w:w="109"/>
        <w:gridCol w:w="109"/>
        <w:gridCol w:w="211"/>
        <w:gridCol w:w="976"/>
        <w:gridCol w:w="156"/>
      </w:tblGrid>
      <w:tr>
        <w:trPr/>
        <w:tc>
          <w:tcPr>
            <w:tcW w:w="8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174,146,070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3,173,140 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equity plans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174,667,840</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8" w:type="dxa"/>
        <w:jc w:val="left"/>
        <w:tblInd w:w="0" w:type="dxa"/>
        <w:tblLayout w:type="fixed"/>
        <w:tblCellMar>
          <w:top w:w="28" w:type="dxa"/>
          <w:left w:w="28" w:type="dxa"/>
          <w:bottom w:w="28" w:type="dxa"/>
          <w:right w:w="28" w:type="dxa"/>
        </w:tblCellMar>
      </w:tblPr>
      <w:tblGrid>
        <w:gridCol w:w="786"/>
        <w:gridCol w:w="282"/>
        <w:gridCol w:w="283"/>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46"/>
        <w:gridCol w:w="842"/>
        <w:gridCol w:w="128"/>
        <w:gridCol w:w="109"/>
        <w:gridCol w:w="109"/>
        <w:gridCol w:w="109"/>
        <w:gridCol w:w="211"/>
        <w:gridCol w:w="841"/>
        <w:gridCol w:w="109"/>
        <w:gridCol w:w="109"/>
        <w:gridCol w:w="109"/>
        <w:gridCol w:w="109"/>
        <w:gridCol w:w="211"/>
        <w:gridCol w:w="97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2024</w:t>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166,659,634 </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3,178,697 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11,126 </w:t>
            </w:r>
          </w:p>
        </w:tc>
        <w:tc>
          <w:tcPr>
            <w:tcW w:w="1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(245,392)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2,946,098 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equity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initial public offering,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5,059,010 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172,086,129 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3,052,747 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 (in Thousands, Except Share Data)</w:t>
      </w:r>
    </w:p>
    <w:tbl>
      <w:tblPr>
        <w:tblW w:w="10205" w:type="dxa"/>
        <w:jc w:val="left"/>
        <w:tblInd w:w="0" w:type="dxa"/>
        <w:tblLayout w:type="fixed"/>
        <w:tblCellMar>
          <w:top w:w="28" w:type="dxa"/>
          <w:left w:w="28" w:type="dxa"/>
          <w:bottom w:w="28" w:type="dxa"/>
          <w:right w:w="28" w:type="dxa"/>
        </w:tblCellMar>
      </w:tblPr>
      <w:tblGrid>
        <w:gridCol w:w="764"/>
        <w:gridCol w:w="355"/>
        <w:gridCol w:w="356"/>
        <w:gridCol w:w="379"/>
        <w:gridCol w:w="379"/>
        <w:gridCol w:w="383"/>
        <w:gridCol w:w="109"/>
        <w:gridCol w:w="109"/>
        <w:gridCol w:w="109"/>
        <w:gridCol w:w="211"/>
        <w:gridCol w:w="616"/>
        <w:gridCol w:w="109"/>
        <w:gridCol w:w="109"/>
        <w:gridCol w:w="109"/>
        <w:gridCol w:w="109"/>
        <w:gridCol w:w="211"/>
        <w:gridCol w:w="976"/>
        <w:gridCol w:w="109"/>
        <w:gridCol w:w="109"/>
        <w:gridCol w:w="109"/>
        <w:gridCol w:w="109"/>
        <w:gridCol w:w="326"/>
        <w:gridCol w:w="720"/>
        <w:gridCol w:w="170"/>
        <w:gridCol w:w="109"/>
        <w:gridCol w:w="109"/>
        <w:gridCol w:w="109"/>
        <w:gridCol w:w="211"/>
        <w:gridCol w:w="843"/>
        <w:gridCol w:w="109"/>
        <w:gridCol w:w="109"/>
        <w:gridCol w:w="109"/>
        <w:gridCol w:w="109"/>
        <w:gridCol w:w="211"/>
        <w:gridCol w:w="976"/>
        <w:gridCol w:w="156"/>
      </w:tblGrid>
      <w:tr>
        <w:trPr/>
        <w:tc>
          <w:tcPr>
            <w:tcW w:w="76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172,108,240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3,079,786 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equity plans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4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174,667,840</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7"/>
        <w:gridCol w:w="354"/>
        <w:gridCol w:w="355"/>
        <w:gridCol w:w="379"/>
        <w:gridCol w:w="379"/>
        <w:gridCol w:w="383"/>
        <w:gridCol w:w="109"/>
        <w:gridCol w:w="109"/>
        <w:gridCol w:w="109"/>
        <w:gridCol w:w="211"/>
        <w:gridCol w:w="616"/>
        <w:gridCol w:w="109"/>
        <w:gridCol w:w="109"/>
        <w:gridCol w:w="109"/>
        <w:gridCol w:w="109"/>
        <w:gridCol w:w="211"/>
        <w:gridCol w:w="976"/>
        <w:gridCol w:w="109"/>
        <w:gridCol w:w="109"/>
        <w:gridCol w:w="109"/>
        <w:gridCol w:w="109"/>
        <w:gridCol w:w="246"/>
        <w:gridCol w:w="842"/>
        <w:gridCol w:w="128"/>
        <w:gridCol w:w="109"/>
        <w:gridCol w:w="109"/>
        <w:gridCol w:w="109"/>
        <w:gridCol w:w="211"/>
        <w:gridCol w:w="842"/>
        <w:gridCol w:w="109"/>
        <w:gridCol w:w="109"/>
        <w:gridCol w:w="109"/>
        <w:gridCol w:w="109"/>
        <w:gridCol w:w="211"/>
        <w:gridCol w:w="976"/>
        <w:gridCol w:w="156"/>
      </w:tblGrid>
      <w:tr>
        <w:trPr/>
        <w:tc>
          <w:tcPr>
            <w:tcW w:w="7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121,679,902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2,049,932 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equity plans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distributions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initial public offering, net of issuance costs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50,059,010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2024</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172,086,129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3,052,747 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 (in Thousands)</w:t>
      </w:r>
    </w:p>
    <w:tbl>
      <w:tblPr>
        <w:tblW w:w="9460" w:type="dxa"/>
        <w:jc w:val="center"/>
        <w:tblInd w:w="0" w:type="dxa"/>
        <w:tblLayout w:type="fixed"/>
        <w:tblCellMar>
          <w:top w:w="28" w:type="dxa"/>
          <w:left w:w="28" w:type="dxa"/>
          <w:bottom w:w="28" w:type="dxa"/>
          <w:right w:w="28" w:type="dxa"/>
        </w:tblCellMar>
      </w:tblPr>
      <w:tblGrid>
        <w:gridCol w:w="2417"/>
        <w:gridCol w:w="2121"/>
        <w:gridCol w:w="2137"/>
        <w:gridCol w:w="222"/>
        <w:gridCol w:w="837"/>
        <w:gridCol w:w="123"/>
        <w:gridCol w:w="123"/>
        <w:gridCol w:w="123"/>
        <w:gridCol w:w="123"/>
        <w:gridCol w:w="222"/>
        <w:gridCol w:w="837"/>
        <w:gridCol w:w="175"/>
      </w:tblGrid>
      <w:tr>
        <w:trPr/>
        <w:tc>
          <w:tcPr>
            <w:tcW w:w="241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income/(loss) to net cash provided by operating activities</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148,635 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47,400 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(57,984)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(13,445)</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refundable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(14,389)</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and lease liabilities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243,039 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and capitalization of internally developed software costs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 securities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 securities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aggregated funds liability</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equity offering, net of underwriting discounts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1,017,074 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third-party IPO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(3,372)</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employee equity plans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debt, net of creditor fees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545,209 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(1,550,002)</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Third-party fees paid in connection with issuance of new debt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paid</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and cash equivalents during the period</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240,775 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cash–beginning of period</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cash–end of period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445,357 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144,347 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(refunds received), net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 purchases in accounts payable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third-party IPO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Balance Sheet Cash Accounts to Cash Flow Statement</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421,056 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127,125 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445,357 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144,347 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Waystar Holding Corp. (“Waystar”, “we”, “us”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pStyle w:val="TextBody"/>
        <w:bidi w:val="0"/>
        <w:spacing w:lineRule="auto" w:line="288" w:before="0" w:after="240"/>
        <w:jc w:val="left"/>
        <w:rPr/>
      </w:pPr>
      <w:r>
        <w:rPr>
          <w:rFonts w:ascii="Times New Roman;serif" w:hAnsi="Times New Roman;serif"/>
          <w:b w:val="false"/>
          <w:i/>
          <w:color w:val="000000"/>
          <w:sz w:val="20"/>
        </w:rPr>
        <w:t>Risks and Uncertainties—</w:t>
      </w:r>
      <w:r>
        <w:rPr>
          <w:color w:val="000000"/>
        </w:rPr>
        <w:t xml:space="preserve"> </w:t>
      </w:r>
      <w:r>
        <w:rPr>
          <w:rFonts w:ascii="Times New Roman;serif" w:hAnsi="Times New Roman;serif"/>
          <w:b w:val="false"/>
          <w:color w:val="000000"/>
          <w:sz w:val="20"/>
        </w:rPr>
        <w:t>We are subject to risks common to companies in similar industries, including, but not limited to, our operation in a highly competitive industry, our ability to retain our existing clients and attract new clients,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impact of government regulations on our market, and our reliance on certain third-party vendors and providers.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 liability associated with such indemnifications was recorded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Financial Statement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financial statements include the consolidated balance sheets, statements of operations, statements of comprehensive income (loss), statements of changes in stockholders’ equity, and statements of cash flows of Waystar and its subsidiaries and have been prepared in accordance with accounting principles generally accepted in the United States of America (“GAAP”).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nine months ended September 30, 2025 are not necessarily indicative of the results for the full year or the results for any future periods. These unaudited consolidated financial statements should be read in conjunction with the audited consolidated financial statements and related notes for the year ended December 31, 2024 in the 2024 Annual Report of Form 10-K filed with the SEC on February 18, 2025 (the “2024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 (1) 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pStyle w:val="TextBody"/>
        <w:bidi w:val="0"/>
        <w:spacing w:lineRule="auto" w:line="288" w:before="0" w:after="240"/>
        <w:jc w:val="left"/>
        <w:rPr/>
      </w:pPr>
      <w:r>
        <w:rPr>
          <w:rFonts w:ascii="Times New Roman;serif" w:hAnsi="Times New Roman;serif"/>
          <w:b w:val="false"/>
          <w:color w:val="000000"/>
          <w:sz w:val="20"/>
        </w:rPr>
        <w:t xml:space="preserve">We recognize revenue in accordance with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through the following five steps: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the contract, or contracts, with a client;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recognition of revenue when, or as, we satisfy a performance obligation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customers, referred to as clients elsewhere in this report, represent healthcare providers across all types of care settings, including physician practices, clinics, surgical centers, and laboratories, as well as large hospitals and health systems.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two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composed of a series of distinct daily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customer's life. Implementation fees and hardware sales represent less than 1% of total revenue for all periods presented.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the Company’s SaaS solutions is distinct from other services and solutions included in an arrangement.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Incremental Costs of Obtaining a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September 30, 2025 and December 31, 2024, the total unamortized costs reported as deferred costs on our balance sheet amounted to $30.8 million and $29.0 million, respectively, for internal sales commissions. For the three months ended September 30, 2025 and 2024, amortization related to the sales commission asset was $3.3 million and $2.8 million, respectively. For the nine months ended September 30, 2025 and 2024, amortization related to the sales commission asset was $9.6 million and $7.8 million, respectively. The aforementioned amortization amounts are included in sales and marketing in our consolidated statements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Costs to Fulfill a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September 30, 2025 and December 31, 2024, the total unamortized costs reported as deferred costs on our balance sheet amounted to $59.3 million and $53.8 million, respectively, for fulfillment costs. For the three months ended September 30, 2025 and 2024, amortization related to the fulfillment cost asset was $4.2 million and $3.2 million, respectively. For the nine months ended September 30, 2025 and 2024, amortization related to the fulfillment cost asset was $11.8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$8.9 million, respectively. The aforementioned amortization amounts are included in the costs of revenue in our consolidated statements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impairment losses relating to deferred costs during the periods presented.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Channel Partners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account for fees paid to channel partners within sales and marketing expenses in the accompanying statements of operations. For the three months ended September 30, 2025 and 2024, we recorded fees to all channel partners of $19.8 million and $17.0 million, respectively. For the nine months ended September 30, 2025 and 2024, we recorded fees to all channel partners of $57.1 million and $47.6 million, respectively. As we are primarily responsible for contracting with and fulfilling contracts for the end user, we record revenue gross of related channel partner fees.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highly liquid investments with an original maturity of three months or less to be cash equivalents. We maintain our cash in bank deposit accounts, which, at times, may exceed federally insured limits. We have not experienced any credit losses in such accounts.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Investment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short-term investments, which consist of debt securities, are stated at fair value. These debt securities have been categorized as available-for-sale and classified as current assets given their maturity date is twelve months or less. Unrealized holding gains and losses for debt securities, net of applicable deferred taxes, are included in other comprehensive income or loss as a component of stockholders’ equity until realized from a sale or an expected credit loss is recognized. For the purpose of determining realized gross gains and losses for debt securities sold, that are included as a component of interest income/(expense) in the consolidated statements of income, the cost of investment securities sold is based upon specific identification. We recorded $1.4 million and $2.0 million of interest income on investment securities for the three and nine months ended September 30, 2025, within “Other expense” of our statements of operations. For the period ended September 30, 2025 we had purchases of short-term investments of $206.4 million that were liquidated in the same period to help fund the acquisition of Iodine Software Holdings, Inc. (“Iodine”). No material gain or loss was recognized in the sale of these short-term investments.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current expected credit losses model expected losses on available for sale debt securities are recognized through an allowance for credit losses rather than as reductions in the amortized cost of securities. For debt securities whose fair value is less than their amortized cost which we do not intend to sell or are not required to sell, we evaluate the expected cash flows to be received as compared to amortized cost and determine if an expected credit loss has occurred. In the event of any expected credit loss, only the amount of impairment associated with the expected credit loss is recognized in income with the remainder, if any, of the loss recognized in other comprehensive income. To the extent we have the intent to sell the debt security, or it is more likely than not we will be required to sell the debt security before recovery of our amortized cost basis, we recognize an impairment loss in income in an amount equal to the full difference between the amortized cost basis and the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impairment losses relating to our investment securities during the periods presented.</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 December 15, 2024. The guidance will be applied on a prospective basis with the option to apply the standard retrospectively. Early adoption is permitted.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currently evaluating the effect of the adoption of this amendment on our consolidated and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2024-13, “Expense Disaggregation Disclosures.” The standard is intended to benefit investors by providing more detailed information about expenses that is critically important in understanding an entity’s performance, assessing an entity’s prospects for future cash flows, and comparing an entity’s performance over time and with that of other entities. For public business entities, this ASU will be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effect of the adoption of this amendment on our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all entities for annual periods beginning after December 15, 2027. The guidance can be applied on a fully prospective basis, a modified basis for in-process projects, or a full retrospective basis. We are currently evaluating the effect of the adoption of this amendment on our consolidated financial statements.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revenue type and the timing of revenue recognition (in thousands):</w:t>
      </w:r>
    </w:p>
    <w:tbl>
      <w:tblPr>
        <w:tblW w:w="10205" w:type="dxa"/>
        <w:jc w:val="left"/>
        <w:tblInd w:w="0" w:type="dxa"/>
        <w:tblLayout w:type="fixed"/>
        <w:tblCellMar>
          <w:top w:w="28" w:type="dxa"/>
          <w:left w:w="28" w:type="dxa"/>
          <w:bottom w:w="28" w:type="dxa"/>
          <w:right w:w="28" w:type="dxa"/>
        </w:tblCellMar>
      </w:tblPr>
      <w:tblGrid>
        <w:gridCol w:w="1213"/>
        <w:gridCol w:w="1031"/>
        <w:gridCol w:w="1035"/>
        <w:gridCol w:w="325"/>
        <w:gridCol w:w="325"/>
        <w:gridCol w:w="326"/>
        <w:gridCol w:w="109"/>
        <w:gridCol w:w="109"/>
        <w:gridCol w:w="109"/>
        <w:gridCol w:w="211"/>
        <w:gridCol w:w="831"/>
        <w:gridCol w:w="109"/>
        <w:gridCol w:w="109"/>
        <w:gridCol w:w="109"/>
        <w:gridCol w:w="109"/>
        <w:gridCol w:w="211"/>
        <w:gridCol w:w="831"/>
        <w:gridCol w:w="109"/>
        <w:gridCol w:w="109"/>
        <w:gridCol w:w="109"/>
        <w:gridCol w:w="109"/>
        <w:gridCol w:w="211"/>
        <w:gridCol w:w="826"/>
        <w:gridCol w:w="109"/>
        <w:gridCol w:w="109"/>
        <w:gridCol w:w="109"/>
        <w:gridCol w:w="109"/>
        <w:gridCol w:w="211"/>
        <w:gridCol w:w="826"/>
        <w:gridCol w:w="157"/>
      </w:tblGrid>
      <w:tr>
        <w:trPr/>
        <w:tc>
          <w:tcPr>
            <w:tcW w:w="12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Volume-based revenue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Implementation services and other revenue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deferred revenue as of the beginning of the period was $0.8 million and $0.7 million for the three months ended September 30, 2025 and 2024, respectively. Revenue recognized from the amounts included in deferred revenue as of the beginning of the period was $9.1 million and $10.2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Transaction Price Allocated to Remaining Performance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September 30, 2025, the transaction price related to unsatisfied performance obligations that are expected to be recognized for the next 12 months and greater than 12 months was $60.4 million and $15.0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allocated to performance obligations that are unsatisfied (or partially unsatisfied) for executed contracts does not include revenue related to performance obligations that are part of a contract with an original expected duration of one year or less.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balance does not include variable consideration that is allocated entirely to wholly unsatisfied promises that form part of a single performance obligation composed of a series of distinct daily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 estimates are subject to change and are affected by several factors, including terminations and changes in the timing and scope of contracts, arising from contract modifications.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Segments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CODM is our Chief Executive Officer. On a monthly basis, our CODM reviews the following financial information presented on a consolidated basis. The key profitability metric used for purposes of making key personnel staffing decisions, approving operating budgets and forecasts, and making strategy decisions is Net Income as detailed below. See Note 3 for our disaggregated revenue by type. </w:t>
      </w:r>
    </w:p>
    <w:tbl>
      <w:tblPr>
        <w:tblW w:w="9484" w:type="dxa"/>
        <w:jc w:val="left"/>
        <w:tblInd w:w="0" w:type="dxa"/>
        <w:tblLayout w:type="fixed"/>
        <w:tblCellMar>
          <w:top w:w="28" w:type="dxa"/>
          <w:left w:w="28" w:type="dxa"/>
          <w:bottom w:w="28" w:type="dxa"/>
          <w:right w:w="28" w:type="dxa"/>
        </w:tblCellMar>
      </w:tblPr>
      <w:tblGrid>
        <w:gridCol w:w="1251"/>
        <w:gridCol w:w="1068"/>
        <w:gridCol w:w="1071"/>
        <w:gridCol w:w="211"/>
        <w:gridCol w:w="826"/>
        <w:gridCol w:w="109"/>
        <w:gridCol w:w="109"/>
        <w:gridCol w:w="109"/>
        <w:gridCol w:w="109"/>
        <w:gridCol w:w="211"/>
        <w:gridCol w:w="826"/>
        <w:gridCol w:w="266"/>
        <w:gridCol w:w="109"/>
        <w:gridCol w:w="109"/>
        <w:gridCol w:w="109"/>
        <w:gridCol w:w="211"/>
        <w:gridCol w:w="826"/>
        <w:gridCol w:w="109"/>
        <w:gridCol w:w="109"/>
        <w:gridCol w:w="109"/>
        <w:gridCol w:w="109"/>
        <w:gridCol w:w="211"/>
        <w:gridCol w:w="826"/>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&amp; connectivity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57,877 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 &amp; associated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22,668 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&amp;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38,450 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39,080 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non-operating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Net income/(loss)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26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Net income/(loss)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 and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hierarchy for financial assets and liabilities measured at fair value on a recurring basis (in thousands):</w:t>
      </w:r>
    </w:p>
    <w:tbl>
      <w:tblPr>
        <w:tblW w:w="9424" w:type="dxa"/>
        <w:jc w:val="left"/>
        <w:tblInd w:w="0" w:type="dxa"/>
        <w:tblLayout w:type="fixed"/>
        <w:tblCellMar>
          <w:top w:w="28" w:type="dxa"/>
          <w:left w:w="28" w:type="dxa"/>
          <w:bottom w:w="28" w:type="dxa"/>
          <w:right w:w="28" w:type="dxa"/>
        </w:tblCellMar>
      </w:tblPr>
      <w:tblGrid>
        <w:gridCol w:w="804"/>
        <w:gridCol w:w="706"/>
        <w:gridCol w:w="709"/>
        <w:gridCol w:w="739"/>
        <w:gridCol w:w="739"/>
        <w:gridCol w:w="741"/>
        <w:gridCol w:w="109"/>
        <w:gridCol w:w="109"/>
        <w:gridCol w:w="109"/>
        <w:gridCol w:w="280"/>
        <w:gridCol w:w="820"/>
        <w:gridCol w:w="145"/>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22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values of our interest rate swaps are based on the sum of all future net present value cash flows. The future cash flows are derived based on the terms of our interest rate swaps, as well as considering published discount factors, and projected SOFR curve. The fair value of long-term debt was determined using the present value of future cash flows based on the borrowing rates currently available for debt with similar terms and maturities. The carrying value of our first lien term loan facility was $1,154.8 million and $1,163.5 million compared to a fair value of $1,151.9 million and $1,169.4 million at September 30, 2025 and December 31, 2024, respectively. There were no transfers in or out of Level 3 during the periods presented.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carrying value of cash equivalents, accounts receivable, accounts payable, accrued liabilities, and other current assets and liabilities approximates fair value due to the short maturities of these instruments. Interest rate swaps are Level 2 instruments whose fair value is derived from discounted cash flows adjusted for nonperformance risk. Investment securities are Level 2 instruments whose fair value is observed through market data of similar securities. Money market funds are Level 1 instruments whose fair value is observed through daily quoted prices of similar assets. Money market funds are considered cash equivalents because they have a maturity of less than three months and are highly liquid.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balances of the major classes of property and equipment are as follows (in thousands):</w:t>
      </w:r>
    </w:p>
    <w:tbl>
      <w:tblPr>
        <w:tblW w:w="6205" w:type="dxa"/>
        <w:jc w:val="center"/>
        <w:tblInd w:w="0" w:type="dxa"/>
        <w:tblLayout w:type="fixed"/>
        <w:tblCellMar>
          <w:top w:w="28" w:type="dxa"/>
          <w:left w:w="28" w:type="dxa"/>
          <w:bottom w:w="28" w:type="dxa"/>
          <w:right w:w="28" w:type="dxa"/>
        </w:tblCellMar>
      </w:tblPr>
      <w:tblGrid>
        <w:gridCol w:w="1010"/>
        <w:gridCol w:w="886"/>
        <w:gridCol w:w="893"/>
        <w:gridCol w:w="313"/>
        <w:gridCol w:w="1070"/>
        <w:gridCol w:w="161"/>
        <w:gridCol w:w="109"/>
        <w:gridCol w:w="109"/>
        <w:gridCol w:w="109"/>
        <w:gridCol w:w="300"/>
        <w:gridCol w:w="1026"/>
        <w:gridCol w:w="219"/>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computer software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in progress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125,931 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of fixed assets, including the amortization of capitalized software, for the three months ended September 30, 2025 and 2024 was $5.4 million and $21.1 million, respectively. Depreciation of fixed assets, including the amortization of capitalized software, for the nine months ended September 30, 2025 and 2024 was $16.0 million and $31.4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capitalized $4.6 million and $13.5 million in software development costs for the three and nine months ended September 30, 2025, respectively. We capitalized $4.3 million and $12.1 million in software developments costs for the three and nine months ended September 30, 2024, respectively. Amortization of capitalized software was $3.6 million and $2.7 million for the three months ended September 30, 2025 and 2024, respectively, and was $10.3 million and $7.4 million for the nine months ended September 30, 2025 and 2024, respectively. The net book value of capitalized software development costs was $32.8 million and $29.6 million as of September 30, 2025 and December 31,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impairments of property and equipment for the three and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Goodwill and Other Intangible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has a balance of $3,020.0 million as of both September 30, 2025 and December 31, 2024. There were no additions, disposals or impairments to goodwill during the three and nine months ended September 30, 2025 and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Amortization for definite-lived intangible assets is as follows (in thousands, except useful life):</w:t>
      </w:r>
    </w:p>
    <w:tbl>
      <w:tblPr>
        <w:tblW w:w="8545" w:type="dxa"/>
        <w:jc w:val="left"/>
        <w:tblInd w:w="0" w:type="dxa"/>
        <w:tblLayout w:type="fixed"/>
        <w:tblCellMar>
          <w:top w:w="28" w:type="dxa"/>
          <w:left w:w="28" w:type="dxa"/>
          <w:bottom w:w="28" w:type="dxa"/>
          <w:right w:w="28" w:type="dxa"/>
        </w:tblCellMar>
      </w:tblPr>
      <w:tblGrid>
        <w:gridCol w:w="1022"/>
        <w:gridCol w:w="898"/>
        <w:gridCol w:w="900"/>
        <w:gridCol w:w="211"/>
        <w:gridCol w:w="976"/>
        <w:gridCol w:w="109"/>
        <w:gridCol w:w="109"/>
        <w:gridCol w:w="109"/>
        <w:gridCol w:w="109"/>
        <w:gridCol w:w="211"/>
        <w:gridCol w:w="901"/>
        <w:gridCol w:w="109"/>
        <w:gridCol w:w="109"/>
        <w:gridCol w:w="109"/>
        <w:gridCol w:w="109"/>
        <w:gridCol w:w="211"/>
        <w:gridCol w:w="976"/>
        <w:gridCol w:w="109"/>
        <w:gridCol w:w="109"/>
        <w:gridCol w:w="109"/>
        <w:gridCol w:w="109"/>
        <w:gridCol w:w="272"/>
        <w:gridCol w:w="272"/>
        <w:gridCol w:w="387"/>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Useful Life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developed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developed technology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$27.9 million and $39.1 million for the three months ended September 30, 2025 and 2024, respectively and was $84.1 million and $117.2 million for the nine months ended September 30, 2025 and 2024, respectively. During the three and nine months ended September 30, 2025, gross carrying amount of definite-lived intangible assets decreased by $38.1 million due to disposals of fully amortized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lease expense for the three and nine months ended September 30, 2025 and 2024, respectively (in thousands):</w:t>
      </w:r>
    </w:p>
    <w:tbl>
      <w:tblPr>
        <w:tblW w:w="8462" w:type="dxa"/>
        <w:jc w:val="left"/>
        <w:tblInd w:w="0" w:type="dxa"/>
        <w:tblLayout w:type="fixed"/>
        <w:tblCellMar>
          <w:top w:w="28" w:type="dxa"/>
          <w:left w:w="28" w:type="dxa"/>
          <w:bottom w:w="28" w:type="dxa"/>
          <w:right w:w="28" w:type="dxa"/>
        </w:tblCellMar>
      </w:tblPr>
      <w:tblGrid>
        <w:gridCol w:w="1053"/>
        <w:gridCol w:w="926"/>
        <w:gridCol w:w="930"/>
        <w:gridCol w:w="241"/>
        <w:gridCol w:w="706"/>
        <w:gridCol w:w="124"/>
        <w:gridCol w:w="124"/>
        <w:gridCol w:w="124"/>
        <w:gridCol w:w="124"/>
        <w:gridCol w:w="241"/>
        <w:gridCol w:w="826"/>
        <w:gridCol w:w="124"/>
        <w:gridCol w:w="109"/>
        <w:gridCol w:w="109"/>
        <w:gridCol w:w="109"/>
        <w:gridCol w:w="233"/>
        <w:gridCol w:w="680"/>
        <w:gridCol w:w="120"/>
        <w:gridCol w:w="120"/>
        <w:gridCol w:w="120"/>
        <w:gridCol w:w="120"/>
        <w:gridCol w:w="233"/>
        <w:gridCol w:w="796"/>
        <w:gridCol w:w="170"/>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as of September 30, 2025 are as follows (in thousands):</w:t>
      </w:r>
    </w:p>
    <w:tbl>
      <w:tblPr>
        <w:tblW w:w="6102" w:type="dxa"/>
        <w:jc w:val="center"/>
        <w:tblInd w:w="0" w:type="dxa"/>
        <w:tblLayout w:type="fixed"/>
        <w:tblCellMar>
          <w:top w:w="28" w:type="dxa"/>
          <w:left w:w="28" w:type="dxa"/>
          <w:bottom w:w="28" w:type="dxa"/>
          <w:right w:w="28" w:type="dxa"/>
        </w:tblCellMar>
      </w:tblPr>
      <w:tblGrid>
        <w:gridCol w:w="1150"/>
        <w:gridCol w:w="1008"/>
        <w:gridCol w:w="1022"/>
        <w:gridCol w:w="276"/>
        <w:gridCol w:w="946"/>
        <w:gridCol w:w="143"/>
        <w:gridCol w:w="109"/>
        <w:gridCol w:w="109"/>
        <w:gridCol w:w="109"/>
        <w:gridCol w:w="239"/>
        <w:gridCol w:w="817"/>
        <w:gridCol w:w="1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three and nine months ended September 30, 2025 and 2024 are as follows (in thousands):</w:t>
      </w:r>
    </w:p>
    <w:tbl>
      <w:tblPr>
        <w:tblW w:w="10205" w:type="dxa"/>
        <w:jc w:val="center"/>
        <w:tblInd w:w="0" w:type="dxa"/>
        <w:tblLayout w:type="fixed"/>
        <w:tblCellMar>
          <w:top w:w="28" w:type="dxa"/>
          <w:left w:w="28" w:type="dxa"/>
          <w:bottom w:w="28" w:type="dxa"/>
          <w:right w:w="28" w:type="dxa"/>
        </w:tblCellMar>
      </w:tblPr>
      <w:tblGrid>
        <w:gridCol w:w="1749"/>
        <w:gridCol w:w="1533"/>
        <w:gridCol w:w="1541"/>
        <w:gridCol w:w="243"/>
        <w:gridCol w:w="711"/>
        <w:gridCol w:w="125"/>
        <w:gridCol w:w="125"/>
        <w:gridCol w:w="125"/>
        <w:gridCol w:w="125"/>
        <w:gridCol w:w="243"/>
        <w:gridCol w:w="711"/>
        <w:gridCol w:w="125"/>
        <w:gridCol w:w="109"/>
        <w:gridCol w:w="109"/>
        <w:gridCol w:w="109"/>
        <w:gridCol w:w="236"/>
        <w:gridCol w:w="690"/>
        <w:gridCol w:w="122"/>
        <w:gridCol w:w="122"/>
        <w:gridCol w:w="122"/>
        <w:gridCol w:w="122"/>
        <w:gridCol w:w="236"/>
        <w:gridCol w:w="690"/>
        <w:gridCol w:w="182"/>
      </w:tblGrid>
      <w:tr>
        <w:trPr/>
        <w:tc>
          <w:tcPr>
            <w:tcW w:w="174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financing leases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as of September 30, 2025 and December 31, 2024 are as follows:</w:t>
      </w:r>
    </w:p>
    <w:tbl>
      <w:tblPr>
        <w:tblW w:w="7374" w:type="dxa"/>
        <w:jc w:val="center"/>
        <w:tblInd w:w="0" w:type="dxa"/>
        <w:tblLayout w:type="fixed"/>
        <w:tblCellMar>
          <w:top w:w="28" w:type="dxa"/>
          <w:left w:w="28" w:type="dxa"/>
          <w:bottom w:w="28" w:type="dxa"/>
          <w:right w:w="28" w:type="dxa"/>
        </w:tblCellMar>
      </w:tblPr>
      <w:tblGrid>
        <w:gridCol w:w="1431"/>
        <w:gridCol w:w="1260"/>
        <w:gridCol w:w="1268"/>
        <w:gridCol w:w="514"/>
        <w:gridCol w:w="514"/>
        <w:gridCol w:w="516"/>
        <w:gridCol w:w="109"/>
        <w:gridCol w:w="109"/>
        <w:gridCol w:w="109"/>
        <w:gridCol w:w="452"/>
        <w:gridCol w:w="452"/>
        <w:gridCol w:w="640"/>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recognized income tax expense of $12.1 million and income tax benefit of $3.3 million for the three months ended September 30, 2025 and 2024, respectively, based on the quarter-to-date pre-tax income. We recognized income tax expense of $43.5 million and income tax benefit of $17.4 million for the nine months ended September 30, 2025 and 2024, respectively, based on the year-to-date pre-tax income. The Company’s effective income tax rate was 28.3% and 37.7% for the three months ended September 30, 2025 and 2024, respectively. The Company’s effective income tax rate was 32.1% and 31.3% for the nine months ended September 30, 2025 and 2024, respectively. Differences in the effective tax rate and statutory federal income tax rate of 21% are primarily driven by the impact of certain limitations on the deductibility of stock-based compensation recognized for financial reporting purposes as well as state income taxes and research and development credits claimed.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H.R.1, the budget reconciliation bill known as the “One Big Beautiful Bill Act”, was signed into law in the U.S. This legislation includes significant changes to U.S. tax law impacting corporate tax rates, bonus depreciation, interest limitations under Internal Revenue Code Section 163(j), and the treatment of domestic research and development expenditures. Following the enactment of the OBBBA, the Company recognized the tax effects of the legislation in the interim period that included the enactment date, as required under ASC 740. The Company has evaluated the impact of the OBBBA on deferred tax assets and liabilities, including adjustments to valuation allowances, and has reflected these effects in the consolidated financial statements for the three and nine months ended September 30, 2025. The impacts of adopting the tax law change did not materially impact the net income tax expense or deferred tax balances.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Accounts Receivable Securitization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$80.0 million and $80.0 million, respectively, outstanding under a receivables financing agreement with a counterparty as the lender, which provides for a three-year receivables facility with a limit of $80.0 million (the “Receivables Facility”).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interest rate under the Receivables Facility is 1.61% per annum above the SOFR rate with a minimum base of 0%. The SOFR is adjusted each thirty-day period to the thirty-day SOFR rate. Interest under the Receivables Facility is paid monthly in arrears. At September 30, 2025, the effective interest rate for the Receivables Facility is 5.74%.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principal under the Receivables Facility is due on October 31,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Receivables Facility contains certain covenants which, among other things, require we maintain certain collection thresholds with respect to our accounts receivable. We were in compliance with all such debt covenants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Debt instruments consist primarily of term notes, revolving lines of credit, and a Receivables Facility as follows (in thousands):</w:t>
      </w:r>
    </w:p>
    <w:tbl>
      <w:tblPr>
        <w:tblW w:w="6669" w:type="dxa"/>
        <w:jc w:val="center"/>
        <w:tblInd w:w="0" w:type="dxa"/>
        <w:tblLayout w:type="fixed"/>
        <w:tblCellMar>
          <w:top w:w="28" w:type="dxa"/>
          <w:left w:w="28" w:type="dxa"/>
          <w:bottom w:w="28" w:type="dxa"/>
          <w:right w:w="28" w:type="dxa"/>
        </w:tblCellMar>
      </w:tblPr>
      <w:tblGrid>
        <w:gridCol w:w="1342"/>
        <w:gridCol w:w="1180"/>
        <w:gridCol w:w="1183"/>
        <w:gridCol w:w="211"/>
        <w:gridCol w:w="976"/>
        <w:gridCol w:w="109"/>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term loan facility outstanding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 outstanding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1,220,622 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maturity of long-term principal payments (excluding debt discount) at September 30, 2025 is as follows (in thousands):</w:t>
      </w:r>
    </w:p>
    <w:tbl>
      <w:tblPr>
        <w:tblW w:w="1882" w:type="dxa"/>
        <w:jc w:val="center"/>
        <w:tblInd w:w="0" w:type="dxa"/>
        <w:tblLayout w:type="fixed"/>
        <w:tblCellMar>
          <w:top w:w="28" w:type="dxa"/>
          <w:left w:w="28" w:type="dxa"/>
          <w:bottom w:w="28" w:type="dxa"/>
          <w:right w:w="28" w:type="dxa"/>
        </w:tblCellMar>
      </w:tblPr>
      <w:tblGrid>
        <w:gridCol w:w="196"/>
        <w:gridCol w:w="172"/>
        <w:gridCol w:w="173"/>
        <w:gridCol w:w="211"/>
        <w:gridCol w:w="97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there is no outstanding balance on our revolving credit facility. The interest rate under the revolving credit facility is 1.75% per annum above the SOFR rate with a minimum base of 0.00%. The SOFR is adjusted each thirty-day period to the thirty-day SOFR rate. At September 30, 2025, the effective interest rate for the revolving credit facility is 5.88%.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12, 2025, we executed the eleventh amendment on the First Lien Credit Agreement whereby the outstanding balance was repriced being an interest rate of 2.00% per annum above the SOFR rate with a minimum base of 0.00% ("August 2025 First Lien Repricing"). There was no change in the outstanding loan balance before repricing and after repricing and the maturity date was not impacted by the amendment. As part of the August 2025 First Lien Repricing, we recorded $0.7 million in third-party fees that were expensed immediately, which were recorded in general and administrative expenses in our consolidated statements of operations. We recorded a loss on extinguishment of $0.7 million for the three and nine months ended September 30, 2025 related to the August 2025 First Lien Repricing. The SOFR is adjusted each thirty-day period to the thirty-day SOFR rate. Interest under the First Lien Credit Facility is paid monthly in arrears. At September 30, 2025, the effective interest rate for First Lien Credit Facility is 6.34%.</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Principal on the First Lien Credit Facility is payable in 20 equal quarterly installments with the remaining balance to be paid on October 22, 2029. As of September 30, 2025, there are 16 payments remaining. The First Lien Credit Agreement contains certain covenants which, among other things, restrict our ability to incur additional indebtedness. We were in compliance with such debt covenants as of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had unamortized debt issuance costs of $8.9 million and $11.3 million as of September 30, 2025 and December 31,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Revolving Credit Facility, unamortized debt issuance costs were $1.6 million and $2.1 million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Derivative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mitigate the risk of a rise in interest rates on the First Lien Credit Facility, we entered into interest rate swaps on January 13, 2023, April 1, 2025 and April 9, 2025. We attempt to minimize our interest risk exposure by fixing our rate through the utilization of interest rate swaps, which are derivative instruments. The interest rate swaps mitigate the exposure on the variable component of interest on our First Lien Credit Facility. The interest rate swaps result in the fixed interest rate shown in the table below on the swapped portion of the First Lien Credit Facility. Our swaps are entered into with financial 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have the following interest rate swap agreements designated as a hedging instruments:</w:t>
      </w:r>
    </w:p>
    <w:tbl>
      <w:tblPr>
        <w:tblW w:w="6940" w:type="dxa"/>
        <w:jc w:val="left"/>
        <w:tblInd w:w="0" w:type="dxa"/>
        <w:tblLayout w:type="fixed"/>
        <w:tblCellMar>
          <w:top w:w="28" w:type="dxa"/>
          <w:left w:w="28" w:type="dxa"/>
          <w:bottom w:w="28" w:type="dxa"/>
          <w:right w:w="28" w:type="dxa"/>
        </w:tblCellMar>
      </w:tblPr>
      <w:tblGrid>
        <w:gridCol w:w="1318"/>
        <w:gridCol w:w="1162"/>
        <w:gridCol w:w="1165"/>
        <w:gridCol w:w="109"/>
        <w:gridCol w:w="109"/>
        <w:gridCol w:w="109"/>
        <w:gridCol w:w="211"/>
        <w:gridCol w:w="616"/>
        <w:gridCol w:w="706"/>
        <w:gridCol w:w="109"/>
        <w:gridCol w:w="109"/>
        <w:gridCol w:w="109"/>
        <w:gridCol w:w="255"/>
        <w:gridCol w:w="256"/>
        <w:gridCol w:w="597"/>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Effective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Floating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Rates</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2023 through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through 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2026 through March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2026 through March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gain or loss on the swaps is recognized in accumulated other comprehensive income/(loss) and reclassified into earnings as adjustments to interest expense in the same period or periods during which the swaps affect earnings. Gains or losses on the swaps representing hedge components excluded from the assessment of effectiveness are recognized in current earnings.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effect of derivative instruments designated as hedging instruments on the accompanying consolidated financial statements is as follows (in thousands):</w:t>
      </w:r>
    </w:p>
    <w:tbl>
      <w:tblPr>
        <w:tblW w:w="10205" w:type="dxa"/>
        <w:jc w:val="left"/>
        <w:tblInd w:w="0" w:type="dxa"/>
        <w:tblLayout w:type="fixed"/>
        <w:tblCellMar>
          <w:top w:w="28" w:type="dxa"/>
          <w:left w:w="28" w:type="dxa"/>
          <w:bottom w:w="28" w:type="dxa"/>
          <w:right w:w="28" w:type="dxa"/>
        </w:tblCellMar>
      </w:tblPr>
      <w:tblGrid>
        <w:gridCol w:w="1248"/>
        <w:gridCol w:w="1098"/>
        <w:gridCol w:w="1104"/>
        <w:gridCol w:w="280"/>
        <w:gridCol w:w="1060"/>
        <w:gridCol w:w="144"/>
        <w:gridCol w:w="109"/>
        <w:gridCol w:w="109"/>
        <w:gridCol w:w="109"/>
        <w:gridCol w:w="511"/>
        <w:gridCol w:w="510"/>
        <w:gridCol w:w="512"/>
        <w:gridCol w:w="109"/>
        <w:gridCol w:w="109"/>
        <w:gridCol w:w="109"/>
        <w:gridCol w:w="301"/>
        <w:gridCol w:w="1029"/>
        <w:gridCol w:w="155"/>
        <w:gridCol w:w="109"/>
        <w:gridCol w:w="109"/>
        <w:gridCol w:w="109"/>
        <w:gridCol w:w="211"/>
        <w:gridCol w:w="899"/>
        <w:gridCol w:w="162"/>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Derivatives - Cash Flow Hedging Relationships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or</w:t>
              <w:br/>
              <w:t>(Loss) Recognized</w:t>
              <w:br/>
              <w:t>in AOCI/AOCL on</w:t>
              <w:br/>
              <w:t>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or</w:t>
              <w:br/>
              <w:t>(Loss) Reclassified</w:t>
              <w:br/>
              <w:t>from AOCI/AOCL</w:t>
              <w:br/>
              <w:t>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or</w:t>
              <w:br/>
              <w:t>(Loss) Reclassified</w:t>
              <w:br/>
              <w:t>from AOCI/AOCL</w:t>
              <w:br/>
              <w:t>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Interest</w:t>
              <w:br/>
              <w:t>Expense on</w:t>
              <w:br/>
              <w:t>Consolidated</w:t>
              <w:br/>
              <w:t>Statements of</w:t>
              <w:br/>
              <w:t>Operations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2024</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2024</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(126,184)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amount of accumulated other comprehensive income expected to be reclassified to interest income in the next twelve months is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we had $56.4 million and $35.6 million, respectively, of outstanding debt as part of the First Lien Credit Facility from Bain Affiliated Funds and CPPIB Credit Investments III Inc., affiliates of Bain Capital LP and Canada Pension Plan Investment Board (“Affiliated Debtholders”). Interest expense associated with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paid to Affiliated Debtholders was $0.9 million and $0.7 million for the three months ended September 30, 2025 and 2024, respectively and $2.5 million and $3.4 million for the nine months ended September 30,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CPPIB has an ownership interest in us and a significant interest in the landlord that leases us office space under an operating lease agreement in Houston, Texas. For the three months ended September 30, 2025 and 2024, we expensed zero and $0.1 million, respectively, and for the nine months ended September 30, 2025 and 2024, we expensed zero and $0.2 million, respectively, for this office space lease in general and administrative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Bain Capital LP has an ownership interest in us and a significant interest in some clients for whom we provide software solutions. For the three months ended September 30, 2025 and 2024, we earned revenue of $0.8 million from five clients and $0.4 million from four clients, respectively. For the nine months ended September 30, 2025 and 2024, we earned revenue of $1.9 million from five clients and $1.2 million from four clients, respectively. They also have an ownership interest in us and a significant interest in two vendors that provide us with software solutions. For the three months ended September 30, 2025 and 2024, we expensed $0.6 million and $0.1 million, respectively, and for the nine months ended September 30, 2025 and 2024, we expensed $1.8 million and $0.3 million for software services from these vendors in cost of revenue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Common and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our initial public offering ("IPO"), the Company’s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174,667,840 and 172,108,240 common stock shares issued and outstanding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Retirement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$1.3 million and $1.1 million for the three months ended September 30, 2025 and 2024 and $3.9 million and $3.6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Equity incentive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22, 2019, the Board of Directors approved the Waystar Holding Corp. 2019 Stock Incentive Plan (“2019 Waystar Holding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2.2 million fully vested rollover options remain outstanding.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the Company’s Common Stock, restricted stock units, performance based stock units, and other equity-based awards tied to the value of the Company’s shares. Under this plan, we can issue up to 10 million options and other equity awards, subject to annual increases as outlined under the plan. The number of shares available to be issued automatically increases on the first day of each fiscal year beginning in 2025 by a number of shares equal to the lesser of the positive difference, if any, between 5% of the outstanding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pPr>
      <w:r>
        <w:rPr>
          <w:rFonts w:ascii="Times New Roman;serif" w:hAnsi="Times New Roman;serif"/>
          <w:b w:val="false"/>
          <w:color w:val="000000"/>
          <w:sz w:val="20"/>
        </w:rPr>
        <w:t xml:space="preserve">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w:t>
      </w:r>
      <w:r>
        <w:rPr>
          <w:rFonts w:ascii="Times New Roman;serif" w:hAnsi="Times New Roman;serif"/>
          <w:b w:val="false"/>
          <w:color w:val="000000"/>
          <w:sz w:val="20"/>
          <w:shd w:fill="FFFFFF" w:val="clear"/>
        </w:rPr>
        <w:t>The performance-based stock units (“PSUs”) under the 2024 Equity Incentive Plan vest between 0% and 200% based on the company's total shareholder return (</w:t>
      </w:r>
      <w:r>
        <w:rPr>
          <w:color w:val="000000"/>
        </w:rPr>
        <w:t>“</w:t>
      </w:r>
      <w:r>
        <w:rPr>
          <w:rFonts w:ascii="Times New Roman;serif" w:hAnsi="Times New Roman;serif"/>
          <w:b w:val="false"/>
          <w:color w:val="000000"/>
          <w:sz w:val="20"/>
          <w:shd w:fill="FFFFFF" w:val="clear"/>
        </w:rPr>
        <w:t>TSR”) relative to a designated peer group as defined in the respective agreement over a four-year performance period.</w:t>
      </w:r>
      <w:r>
        <w:rPr>
          <w:color w:val="000000"/>
        </w:rPr>
        <w:t xml:space="preserve"> </w:t>
      </w:r>
      <w:r>
        <w:rPr>
          <w:rFonts w:ascii="Times New Roman;serif" w:hAnsi="Times New Roman;serif"/>
          <w:b w:val="false"/>
          <w:color w:val="000000"/>
          <w:sz w:val="20"/>
        </w:rPr>
        <w:t>As of September 30, 2025, 5.4 million shares were available for future grants under this plan.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in 2025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Our employees contribute funds via payroll deductions during the offering periods, which are used to buy Waystar common shares at a discount of up to 15% of the purchase price at the purchase date. Offerings to purchase shares are granted twice annually on or about June 30 and December 31. During the three and nine months ended September 30, 2025, 37,323 of common shares have been issued as part of the ESPP. For the three and nine months ended September 30, 2025, expense of $0.1 million and $0.4 million, respectively, has been recorded which represents the 15% discount given to the employees under the ESPP. During the three and nine months ended September 30, 2024, zero expense was recorded related to the 15% discount given to the employees under the ESPP.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Risk-free interest rate—reflects the average rate on the United States Treasury bond with maturity equal to the expected term of the option;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Expected dividend yield—as we do not currently pay dividends or expect to pay dividends in the near future, the expected dividend yield is zero;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Expected term of stock award – under the 2024 Equity Incentive Plan, we utilized the simplified method due to the lack of historical experience activity for Waystar. The simplified method calculates the expected term as the mid-point between the vesting date and the contractual expiration date of the award. Under the 2019 Waystar Holding Corp. Plan, it is based on historical experience that is modified based on expected future changes;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Expected volatility in stock price—reflects the historical volatility of comparable public companies over the expected term of the stock option.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options granted during the nine months ended September 30, 2025 was $18.69 per share. No options were granted during the three months ended September 30, 2025. The weighted average grant date fair value of options granted during the nine months ended September 30, 2024 was $12.89 per share. No options were granted during the three months ended September 30, 2024. As of September 30, 2025, we had 6.8 million fully vested options with a weighted average exercise price of $15.03 per share, an aggregate intrinsic value of $156.3 million and an average remaining contractual term of 4.2 years. The total fair value of options vested for the three months ended September 30, 2025 and 2024 were $2.9 million and $2.9 million, respectively and $16.5 million and $4.8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Information pertaining to option activity under all plans (including rollover options) during the nine months ended September 30, 2025 and 2024 is as follows:</w:t>
      </w:r>
    </w:p>
    <w:tbl>
      <w:tblPr>
        <w:tblW w:w="7252" w:type="dxa"/>
        <w:jc w:val="left"/>
        <w:tblInd w:w="0" w:type="dxa"/>
        <w:tblLayout w:type="fixed"/>
        <w:tblCellMar>
          <w:top w:w="28" w:type="dxa"/>
          <w:left w:w="28" w:type="dxa"/>
          <w:bottom w:w="28" w:type="dxa"/>
          <w:right w:w="28" w:type="dxa"/>
        </w:tblCellMar>
      </w:tblPr>
      <w:tblGrid>
        <w:gridCol w:w="1038"/>
        <w:gridCol w:w="912"/>
        <w:gridCol w:w="914"/>
        <w:gridCol w:w="348"/>
        <w:gridCol w:w="348"/>
        <w:gridCol w:w="353"/>
        <w:gridCol w:w="109"/>
        <w:gridCol w:w="109"/>
        <w:gridCol w:w="109"/>
        <w:gridCol w:w="321"/>
        <w:gridCol w:w="938"/>
        <w:gridCol w:w="166"/>
        <w:gridCol w:w="109"/>
        <w:gridCol w:w="109"/>
        <w:gridCol w:w="109"/>
        <w:gridCol w:w="369"/>
        <w:gridCol w:w="369"/>
        <w:gridCol w:w="522"/>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 per</w:t>
              <w:b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16,511,128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w:t>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14,460,365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bl>
    <w:tbl>
      <w:tblPr>
        <w:tblW w:w="7239" w:type="dxa"/>
        <w:jc w:val="left"/>
        <w:tblInd w:w="0" w:type="dxa"/>
        <w:tblLayout w:type="fixed"/>
        <w:tblCellMar>
          <w:top w:w="28" w:type="dxa"/>
          <w:left w:w="28" w:type="dxa"/>
          <w:bottom w:w="28" w:type="dxa"/>
          <w:right w:w="28" w:type="dxa"/>
        </w:tblCellMar>
      </w:tblPr>
      <w:tblGrid>
        <w:gridCol w:w="1038"/>
        <w:gridCol w:w="912"/>
        <w:gridCol w:w="914"/>
        <w:gridCol w:w="344"/>
        <w:gridCol w:w="344"/>
        <w:gridCol w:w="348"/>
        <w:gridCol w:w="109"/>
        <w:gridCol w:w="109"/>
        <w:gridCol w:w="109"/>
        <w:gridCol w:w="321"/>
        <w:gridCol w:w="938"/>
        <w:gridCol w:w="166"/>
        <w:gridCol w:w="109"/>
        <w:gridCol w:w="109"/>
        <w:gridCol w:w="109"/>
        <w:gridCol w:w="369"/>
        <w:gridCol w:w="369"/>
        <w:gridCol w:w="522"/>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 per</w:t>
              <w:b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December 31, 2023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13,032,541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September 30, 2024</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16,576,194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significant assumptions used in estimating the fair value of options granted the three and nine months ended September 30, 2025 and 2024:</w:t>
      </w:r>
    </w:p>
    <w:tbl>
      <w:tblPr>
        <w:tblW w:w="9033" w:type="dxa"/>
        <w:jc w:val="left"/>
        <w:tblInd w:w="0" w:type="dxa"/>
        <w:tblLayout w:type="fixed"/>
        <w:tblCellMar>
          <w:top w:w="28" w:type="dxa"/>
          <w:left w:w="28" w:type="dxa"/>
          <w:bottom w:w="28" w:type="dxa"/>
          <w:right w:w="28" w:type="dxa"/>
        </w:tblCellMar>
      </w:tblPr>
      <w:tblGrid>
        <w:gridCol w:w="1027"/>
        <w:gridCol w:w="900"/>
        <w:gridCol w:w="908"/>
        <w:gridCol w:w="293"/>
        <w:gridCol w:w="293"/>
        <w:gridCol w:w="293"/>
        <w:gridCol w:w="293"/>
        <w:gridCol w:w="293"/>
        <w:gridCol w:w="293"/>
        <w:gridCol w:w="293"/>
        <w:gridCol w:w="293"/>
        <w:gridCol w:w="293"/>
        <w:gridCol w:w="109"/>
        <w:gridCol w:w="109"/>
        <w:gridCol w:w="109"/>
        <w:gridCol w:w="307"/>
        <w:gridCol w:w="309"/>
        <w:gridCol w:w="521"/>
        <w:gridCol w:w="209"/>
        <w:gridCol w:w="209"/>
        <w:gridCol w:w="209"/>
        <w:gridCol w:w="300"/>
        <w:gridCol w:w="300"/>
        <w:gridCol w:w="870"/>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3.76%-4.59%</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stock award</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5.0 - 6.5</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in stock price</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49.62%-51.89%</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exercised (the difference between the fair market value of our stock on the date of exercise and the exercise price) was approximately $12.8 million and $6.7 million for the three months ended September 30, 2025 and 2024, respectively and $61.7 million and $6.7 million for the nine months ended September 30,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incur compensation expense of approximately $41.0 million over a weighted average of 3.4 years for all unvested time-based awards outstanding on September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RSUs granted on June 10, 2024 in conjunction with the IPO were valued at the IPO price. Subsequent RSU grants have been valued using our common stock price as of the grant date based on the publicly traded value per NASDAQ, and are expensed on a straight-line basis over the applicable vesting period. All vesting is contingent on continued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RSU activity during the nine months ended September 30, 2025 and 2024. </w:t>
      </w:r>
    </w:p>
    <w:tbl>
      <w:tblPr>
        <w:tblW w:w="5351" w:type="dxa"/>
        <w:jc w:val="center"/>
        <w:tblInd w:w="0" w:type="dxa"/>
        <w:tblLayout w:type="fixed"/>
        <w:tblCellMar>
          <w:top w:w="28" w:type="dxa"/>
          <w:left w:w="28" w:type="dxa"/>
          <w:bottom w:w="28" w:type="dxa"/>
          <w:right w:w="28" w:type="dxa"/>
        </w:tblCellMar>
      </w:tblPr>
      <w:tblGrid>
        <w:gridCol w:w="1038"/>
        <w:gridCol w:w="912"/>
        <w:gridCol w:w="914"/>
        <w:gridCol w:w="309"/>
        <w:gridCol w:w="309"/>
        <w:gridCol w:w="313"/>
        <w:gridCol w:w="109"/>
        <w:gridCol w:w="109"/>
        <w:gridCol w:w="109"/>
        <w:gridCol w:w="264"/>
        <w:gridCol w:w="772"/>
        <w:gridCol w:w="19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December 31, 2024</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51" w:type="dxa"/>
        <w:jc w:val="left"/>
        <w:tblInd w:w="0" w:type="dxa"/>
        <w:tblLayout w:type="fixed"/>
        <w:tblCellMar>
          <w:top w:w="28" w:type="dxa"/>
          <w:left w:w="28" w:type="dxa"/>
          <w:bottom w:w="28" w:type="dxa"/>
          <w:right w:w="28" w:type="dxa"/>
        </w:tblCellMar>
      </w:tblPr>
      <w:tblGrid>
        <w:gridCol w:w="1038"/>
        <w:gridCol w:w="912"/>
        <w:gridCol w:w="914"/>
        <w:gridCol w:w="309"/>
        <w:gridCol w:w="309"/>
        <w:gridCol w:w="313"/>
        <w:gridCol w:w="109"/>
        <w:gridCol w:w="109"/>
        <w:gridCol w:w="109"/>
        <w:gridCol w:w="264"/>
        <w:gridCol w:w="772"/>
        <w:gridCol w:w="19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September 30, 2024</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incur compensation expense of $110.8 million over a weighted average of 4.5 years for all unvested RSUs outstanding on September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PSUs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the Monte Carlo pricing model to estimate the fair value of the market-based condition PSUs at the grant date under the 2024 Equity Incentive Plan. The Monte Carlo model incorporates assumptions regarding expected volatility, correlation between performance of our stock price and that of publicly traded peer companies, expected dividend yields and the risk-free interest rate. The Monte Carlo pricing model simulates potential future stock price paths yielding a grant date fair value that reflects the likelihood of varying outcomes. These awards are expensed on a straight-line basis over the applicable vesting period utilizing the fair value at the grant date.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significant assumptions used in estimating the fair value of PSUs granted during the nine months ended September 30, 2025. There were no PSUs granted during the three months ended September 30, 2025 or during the three and nine months ended September 30, 2024. </w:t>
      </w:r>
    </w:p>
    <w:tbl>
      <w:tblPr>
        <w:tblW w:w="9348" w:type="dxa"/>
        <w:jc w:val="left"/>
        <w:tblInd w:w="0" w:type="dxa"/>
        <w:tblLayout w:type="fixed"/>
        <w:tblCellMar>
          <w:top w:w="28" w:type="dxa"/>
          <w:left w:w="28" w:type="dxa"/>
          <w:bottom w:w="28" w:type="dxa"/>
          <w:right w:w="28" w:type="dxa"/>
        </w:tblCellMar>
      </w:tblPr>
      <w:tblGrid>
        <w:gridCol w:w="1027"/>
        <w:gridCol w:w="900"/>
        <w:gridCol w:w="908"/>
        <w:gridCol w:w="343"/>
        <w:gridCol w:w="343"/>
        <w:gridCol w:w="343"/>
        <w:gridCol w:w="343"/>
        <w:gridCol w:w="343"/>
        <w:gridCol w:w="343"/>
        <w:gridCol w:w="343"/>
        <w:gridCol w:w="343"/>
        <w:gridCol w:w="343"/>
        <w:gridCol w:w="109"/>
        <w:gridCol w:w="109"/>
        <w:gridCol w:w="109"/>
        <w:gridCol w:w="336"/>
        <w:gridCol w:w="280"/>
        <w:gridCol w:w="694"/>
        <w:gridCol w:w="279"/>
        <w:gridCol w:w="279"/>
        <w:gridCol w:w="279"/>
        <w:gridCol w:w="279"/>
        <w:gridCol w:w="279"/>
        <w:gridCol w:w="39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stock award</w:t>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in stock price</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PSU activity during the nine months ended September 30, 2025. </w:t>
      </w:r>
    </w:p>
    <w:tbl>
      <w:tblPr>
        <w:tblW w:w="5349" w:type="dxa"/>
        <w:jc w:val="center"/>
        <w:tblInd w:w="0" w:type="dxa"/>
        <w:tblLayout w:type="fixed"/>
        <w:tblCellMar>
          <w:top w:w="28" w:type="dxa"/>
          <w:left w:w="28" w:type="dxa"/>
          <w:bottom w:w="28" w:type="dxa"/>
          <w:right w:w="28" w:type="dxa"/>
        </w:tblCellMar>
      </w:tblPr>
      <w:tblGrid>
        <w:gridCol w:w="1038"/>
        <w:gridCol w:w="912"/>
        <w:gridCol w:w="914"/>
        <w:gridCol w:w="309"/>
        <w:gridCol w:w="309"/>
        <w:gridCol w:w="311"/>
        <w:gridCol w:w="109"/>
        <w:gridCol w:w="109"/>
        <w:gridCol w:w="109"/>
        <w:gridCol w:w="264"/>
        <w:gridCol w:w="772"/>
        <w:gridCol w:w="19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December 31, 2024</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expect to incur compensation expense of $21.4 million over a weighted average of 3.5 years for all unvested PSUs outstanding on September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$11.6 million and $7.9 million of stock-based compensation expense for the three months ended September 30, 2025 and 2024, respectively and $29.9 million and $47.4 million for the nine months ended September 30, 2025 and 2024,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recorded in the following cost and expense categories in the consolidated statements of operations:</w:t>
      </w:r>
    </w:p>
    <w:tbl>
      <w:tblPr>
        <w:tblW w:w="7863" w:type="dxa"/>
        <w:jc w:val="left"/>
        <w:tblInd w:w="0" w:type="dxa"/>
        <w:tblLayout w:type="fixed"/>
        <w:tblCellMar>
          <w:top w:w="28" w:type="dxa"/>
          <w:left w:w="28" w:type="dxa"/>
          <w:bottom w:w="28" w:type="dxa"/>
          <w:right w:w="28" w:type="dxa"/>
        </w:tblCellMar>
      </w:tblPr>
      <w:tblGrid>
        <w:gridCol w:w="835"/>
        <w:gridCol w:w="736"/>
        <w:gridCol w:w="739"/>
        <w:gridCol w:w="241"/>
        <w:gridCol w:w="826"/>
        <w:gridCol w:w="124"/>
        <w:gridCol w:w="124"/>
        <w:gridCol w:w="124"/>
        <w:gridCol w:w="124"/>
        <w:gridCol w:w="241"/>
        <w:gridCol w:w="706"/>
        <w:gridCol w:w="124"/>
        <w:gridCol w:w="109"/>
        <w:gridCol w:w="109"/>
        <w:gridCol w:w="109"/>
        <w:gridCol w:w="223"/>
        <w:gridCol w:w="762"/>
        <w:gridCol w:w="115"/>
        <w:gridCol w:w="115"/>
        <w:gridCol w:w="115"/>
        <w:gridCol w:w="115"/>
        <w:gridCol w:w="223"/>
        <w:gridCol w:w="762"/>
        <w:gridCol w:w="16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Other Accrued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accrued expenses consist of the following (in thousands):</w:t>
      </w:r>
    </w:p>
    <w:tbl>
      <w:tblPr>
        <w:tblW w:w="5936" w:type="dxa"/>
        <w:jc w:val="center"/>
        <w:tblInd w:w="0" w:type="dxa"/>
        <w:tblLayout w:type="fixed"/>
        <w:tblCellMar>
          <w:top w:w="28" w:type="dxa"/>
          <w:left w:w="28" w:type="dxa"/>
          <w:bottom w:w="28" w:type="dxa"/>
          <w:right w:w="28" w:type="dxa"/>
        </w:tblCellMar>
      </w:tblPr>
      <w:tblGrid>
        <w:gridCol w:w="912"/>
        <w:gridCol w:w="801"/>
        <w:gridCol w:w="807"/>
        <w:gridCol w:w="313"/>
        <w:gridCol w:w="1070"/>
        <w:gridCol w:w="161"/>
        <w:gridCol w:w="109"/>
        <w:gridCol w:w="109"/>
        <w:gridCol w:w="109"/>
        <w:gridCol w:w="300"/>
        <w:gridCol w:w="1026"/>
        <w:gridCol w:w="21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self insurance claims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Income/(Loss)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numerators and the denominators of the basic and diluted per share computations are as follows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641"/>
        <w:gridCol w:w="1430"/>
        <w:gridCol w:w="1439"/>
        <w:gridCol w:w="241"/>
        <w:gridCol w:w="825"/>
        <w:gridCol w:w="123"/>
        <w:gridCol w:w="123"/>
        <w:gridCol w:w="123"/>
        <w:gridCol w:w="123"/>
        <w:gridCol w:w="257"/>
        <w:gridCol w:w="750"/>
        <w:gridCol w:w="134"/>
        <w:gridCol w:w="109"/>
        <w:gridCol w:w="109"/>
        <w:gridCol w:w="109"/>
        <w:gridCol w:w="231"/>
        <w:gridCol w:w="790"/>
        <w:gridCol w:w="120"/>
        <w:gridCol w:w="110"/>
        <w:gridCol w:w="110"/>
        <w:gridCol w:w="110"/>
        <w:gridCol w:w="216"/>
        <w:gridCol w:w="816"/>
        <w:gridCol w:w="166"/>
      </w:tblGrid>
      <w:tr>
        <w:trPr/>
        <w:tc>
          <w:tcPr>
            <w:tcW w:w="164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income/(loss) per share:</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common shares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outstanding–(voting)</w:t>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174,352,079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173,388,077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stock outstanding</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174,352,079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173,388,077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income/(loss) per share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Diluted income/(loss) per share:</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common shares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 (voting)</w:t>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6,048,579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6,736,352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 – (voting)</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836,036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1,040,195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 – (voting)</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outstanding–(voting)</w:t>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181,240,033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176,181,511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181,165,737</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stock outstanding</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181,240,033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176,181,511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181,165,738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w:t>
            </w:r>
          </w:p>
        </w:tc>
      </w:tr>
      <w:tr>
        <w:trPr/>
        <w:tc>
          <w:tcPr>
            <w:tcW w:w="4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income/(loss) per share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their anti-dilutive effect, 1,652,397 and 5,247,024 common share equivalents comprised of stock options and RSUs have been excluded from the diluted earnings per share calculation for the three months ended September 30, 2025 and 2024, respectively. Additionally because of their anti-dilutive effect, 1,305,855 and 12,148,217 common share equivalents comprised of stock options and RSUs have been excluded from diluted earnings per share calculation for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of issuance.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completed the acquisition of Iodine pursuant to the Agreement and Plan of Merger (the "Merger Agreement") entered into on July 23, 2025 for total cash consideration of approximately $458.6 million and 16,639,920 shares of common stock having a value of $37.31 per share as outlined in the Merger Agreement. Due to the timing of the acquisition, the accounting conclusions related to the transaction have not yet been finalized.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2025, we entered into the Twelfth Amendment to the First Lien Credit Agreement to increase our First Lien Credit Facility by $250.0 million, increase the maximum borrowing capacity under the revolving credit facility from $400.0 million to $500.0 million, and decrease the interest rate under the revolving credit facility from 1.75% per annum above SOFR to 1.50% per annum above SOFR. We drew $30.0 million on the revolving credit facility to help fund the Iodine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Waystar Holding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28, 2025, we reached a settlement agreement to terminate the prior lease on one of our office locations that was relocated in the third quarter of 2024. The total settlement was $15.0 million. Due to the timing of the settlement, the accounting conclusions related to the transaction have not yet been finalized.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Waystar Holding Corp. (“Waystar”, the “Company”, “we”, “us”, and “our”) financial condition and results of operations should be read in conjunction with our unaudited consolidated financial statements and the related notes included elsewhere in this Form 10-Q, and the consolidated financial statements and related notes included in the 2024 Form 10-K.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“Cautionary Statement Concerning Forward-Looking Statements” above and “Risk Factors” in the 2024 Form 10-K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AI as well as proprietary, advanced algorithms to automate payment-related workflow tasks and drive continuous improvement, which enhances claim and billing accuracy, enriches data integrity, and reduces labor costs for providers.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17 of the top 20 U.S. News Best Hospitals.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2024, we facilitated over six billion healthcare payments transactions, including over $1.8 trillion in gross claims volume. As of 2024, we facilitated healthcare payments transactions spanning approximately 50% of patients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demonstrated an ability to drive recurring, predictable, and profitable growth. Over 99% of our revenue is either recurring subscription or based on highly predictable volumes. For the twelve months ended September 30, 2025, our Net Revenue Retention Rate was 113.1% and we have 1,306 clients as of September 30, 2025 generating over $100,000 over the same twelve month period. For the nine months ended September 30, 2025, we generated revenue of $795.7 million (reflecting a 13.8% increase compared to revenue of $699.4 million for the same period in the prior year), net income of $92.1 million compared to net loss of $38.2 million for the same period in the prior year, and Adjusted EBITDA of $333.0 million (reflecting a 17.5% increase compared to Adjusted EBITDA of $283.3 million for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i/>
          <w:color w:val="000000"/>
          <w:sz w:val="20"/>
        </w:rPr>
        <w:t>Initial Public Offering</w:t>
      </w:r>
      <w:r>
        <w:rPr>
          <w:color w:val="00000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completed an initial public offering (the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IPO Prospectus to purchase up to 6,750,000 additional shares of common stock from us at the IPO price less the underwriting discount, the underwriters exercised the right to purchase 5,059,010 additional shares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resulting in additional net proceeds of $102.8 million, after deducting underwriting discounts and commissions of $6.0 million. The remaining option to purchase additional shares expired unexercised at the end of the 30-day period. See Item 1, Financial Statements, Note 1 (Business) in the 2024 Form 10-K for more information.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Secondary Offerings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2025, the Institutional Investors closed an underwritten public offering of 23,000,000 shares of our common stock (inclusive of the underwriters’ option to purchase additional shares) (the “First Secondary Offering”). On May 15, 2025, the Institutional Investors closed another underwritten public offering of 14,375,000 shares of our common stock (inclusive of the underwriters' option to purchase additional shares) (the "Second Secondary Offering"). Additionally on September 10, 2025, the Institutional Investors closed another underwritten public offering of 18,000,000 shares of our common stock (the "Third Secondary Offering"). The Company did not sell any shares in these offerings or receive any proceeds from these offerings. Pursuant to the terms of the Amended and Restated Registration Rights Agreement, dated as of June 10, 2024, by and among the Company, the Institutional Investors, and certain other parties thereto, we paid $1.4 million and $4.6 million in certain expenses on behalf of the selling stockholders related to these offerings for the three and nine months ended September 30, 2025, respectively, while the selling stockholders paid all applicable underwriting discounts and commissions.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Iodine Acquisition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2025, we entered into the Merger Agreement to acquire Iodine through a series of mergers. Iodine is a trusted leader in AI-powered clinical intelligence, enhancing clinical documentation and accuracy, streamlining utilization management, and preventing revenue leakage before billing. This strategic move is expected to bolster our AI leadership, automate manual work, and improve financial performance for providers. The acquisition was completed on October 1, 2025 for a total purchase price of $1.25 billion. The consideration paid was approximately $458.6 million in cash consideration and 16,639,920 shares of common stock having a value of $37.31 per share, and certain adjustments as outlined in the Merger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Significant Items Affecting Comparability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that the future growth and profitability of our business, and the comparability of our results from period to period, depend on numerous factors, including the following: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Expand our Relationship with Existing Clients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Grow our Client Base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focused on continuing to grow our client base, which will depend in part on our ability to continue to maintain our product leadership, invest in our research and development team, and maintain our reputation and brand.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Impacts of the IPO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Debt Repayment.</w:t>
      </w:r>
      <w:r>
        <w:rPr>
          <w:color w:val="000000"/>
        </w:rPr>
        <w:t xml:space="preserve"> </w:t>
      </w:r>
      <w:r>
        <w:rPr>
          <w:rFonts w:ascii="Times New Roman;serif" w:hAnsi="Times New Roman;serif"/>
          <w:b w:val="false"/>
          <w:color w:val="000000"/>
          <w:sz w:val="20"/>
        </w:rPr>
        <w:t xml:space="preserve">We used proceeds from our IPO to repay an aggregate of $1.0 billion in outstanding principal amount on our First Lien Credit Facility in the second and third quarters of fiscal 2024. This debt repayment has contributed to lower interest expense for the three and nine months ended September 30, 2025 compared to the same periods in the prior year.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Stock-Based Compensation Expenses.</w:t>
      </w:r>
      <w:r>
        <w:rPr>
          <w:color w:val="000000"/>
        </w:rPr>
        <w:t xml:space="preserve"> </w:t>
      </w:r>
      <w:r>
        <w:rPr>
          <w:rFonts w:ascii="Times New Roman;serif" w:hAnsi="Times New Roman;serif"/>
          <w:b w:val="false"/>
          <w:color w:val="000000"/>
          <w:sz w:val="20"/>
        </w:rPr>
        <w:t xml:space="preserve">We expect to recognize stock-based compensation expense of $17.9 million per year over the applicable vesting periods in connection with equity awards granted in connection with the IPO. Such stock-based compensation expense will be reflected in our results of operations from the closing date of the IPO through the applicable vesting periods of such awards. Additionally, we recognized $33.1 million of stock-based compensation expense during the nine months ended September 30, 2024, as the vesting of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condition options became probable upon the closing of the IPO as the implicit service period for the awards established at the grant date had elapsed.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Incremental Public Company Expenses.</w:t>
      </w:r>
      <w:r>
        <w:rPr>
          <w:color w:val="000000"/>
        </w:rPr>
        <w:t xml:space="preserve"> </w:t>
      </w:r>
      <w:r>
        <w:rPr>
          <w:rFonts w:ascii="Times New Roman;serif" w:hAnsi="Times New Roman;serif"/>
          <w:b w:val="false"/>
          <w:color w:val="000000"/>
          <w:sz w:val="20"/>
        </w:rPr>
        <w:t>Following the IPO, we have incurred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 expenses. These costs are generally expensed under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Subscription revenue</w:t>
      </w:r>
      <w:r>
        <w:rPr>
          <w:rFonts w:ascii="Times New Roman;serif" w:hAnsi="Times New Roman;serif"/>
          <w:b w:val="false"/>
          <w:color w:val="000000"/>
          <w:sz w:val="20"/>
        </w:rPr>
        <w:t>. Reflects recurring monthly provider count fees and minimum amounts owed. The vast majority of subscription revenue is generated by provider solutions, which constituted approximately 70% of total revenue in each of the three and nine months ended September 30, 2025 and 2024.</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Volume-based revenue</w:t>
      </w:r>
      <w:r>
        <w:rPr>
          <w:rFonts w:ascii="Times New Roman;serif" w:hAnsi="Times New Roman;serif"/>
          <w:b w:val="false"/>
          <w:color w:val="000000"/>
          <w:sz w:val="20"/>
        </w:rPr>
        <w:t>. Represents recurring fees associated with transaction count or dollar volumes in excess of minimums. Generally, approximately half of our volume-based revenue is generated from provider solutions that are based on transaction count, with the other half from patient payments solutions that are based on either dollar volumes or transaction count.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derive revenue from implementation fees for our software, as well as hardware sales to facilitate patient payments. Our implementation fees are billed upfront and the revenue is recognized ratably over the customer's life.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both the three and nine months ended September 30, 2025 and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internal sales commissions, channel partner fees, travel, and advertising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incurred in our corporate service functions such as finance expenses, legal, human resources, and information technology, as well as other professional service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consist primarily of personnel costs for team members engaged in research and development activities as well as third-party fees. All such costs are expensed as incurred, except for capitalized software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consists of the depreciation of property and equipment and amortization of certain intangible assets, including capitalized software.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consists primarily of interest expense and related-party interest expense, inclusive of the impact of interest rate swaps and net of interest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Expense/(Benefit)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expense/(benefit) includes current income tax and income tax credits from deferred taxes. Income tax expense/benefit is recognized in profit and loss except to the extent that it relates to items recognized in equity or other comprehensive income, in which case the income tax expense/(benefit) is also recognized in equity or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September 30, 2025 and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consolidated operating results for the periods indicated and percentage of revenue for each line item:</w:t>
      </w:r>
    </w:p>
    <w:tbl>
      <w:tblPr>
        <w:tblW w:w="10205" w:type="dxa"/>
        <w:jc w:val="left"/>
        <w:tblInd w:w="0" w:type="dxa"/>
        <w:tblLayout w:type="fixed"/>
        <w:tblCellMar>
          <w:top w:w="28" w:type="dxa"/>
          <w:left w:w="28" w:type="dxa"/>
          <w:bottom w:w="28" w:type="dxa"/>
          <w:right w:w="28" w:type="dxa"/>
        </w:tblCellMar>
      </w:tblPr>
      <w:tblGrid>
        <w:gridCol w:w="1014"/>
        <w:gridCol w:w="596"/>
        <w:gridCol w:w="592"/>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11"/>
        <w:gridCol w:w="721"/>
        <w:gridCol w:w="109"/>
        <w:gridCol w:w="109"/>
        <w:gridCol w:w="109"/>
        <w:gridCol w:w="109"/>
        <w:gridCol w:w="306"/>
        <w:gridCol w:w="310"/>
        <w:gridCol w:w="318"/>
      </w:tblGrid>
      <w:tr>
        <w:trPr/>
        <w:tc>
          <w:tcPr>
            <w:tcW w:w="10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w:t>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0191" w:type="dxa"/>
        <w:jc w:val="left"/>
        <w:tblInd w:w="0" w:type="dxa"/>
        <w:tblLayout w:type="fixed"/>
        <w:tblCellMar>
          <w:top w:w="28" w:type="dxa"/>
          <w:left w:w="28" w:type="dxa"/>
          <w:bottom w:w="28" w:type="dxa"/>
          <w:right w:w="28" w:type="dxa"/>
        </w:tblCellMar>
      </w:tblPr>
      <w:tblGrid>
        <w:gridCol w:w="830"/>
        <w:gridCol w:w="730"/>
        <w:gridCol w:w="735"/>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316"/>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Volume-based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Revenue was $268.7 million for the three months ended September 30, 2025 as compared to $240.1 million for the three months ended September 30, 2024, an increase of $28.5 million, or 11.9%, of which $16.5 million was attributed to subscription revenue from new and existing clients, almost all of which was generated by provider solutions. Another $11.7 million was attributed to volume-based revenue primarily related to expansion of existing client usa</w:t>
      </w:r>
      <w:r>
        <w:rPr>
          <w:rFonts w:ascii="Times New Roman;serif" w:hAnsi="Times New Roman;serif"/>
          <w:b w:val="false"/>
          <w:color w:val="000000"/>
          <w:sz w:val="20"/>
          <w:shd w:fill="FFFFFF" w:val="clear"/>
        </w:rPr>
        <w:t>ge, of which $5.7 million was generated by patient payments solutions and $5.9 million was generated by provider solutions.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Revenue (Exclusive of Depreciation and Amortization)</w:t>
      </w:r>
    </w:p>
    <w:p>
      <w:pPr>
        <w:pStyle w:val="TextBody"/>
        <w:bidi w:val="0"/>
        <w:spacing w:lineRule="auto" w:line="288" w:before="0" w:after="240"/>
        <w:jc w:val="left"/>
        <w:rPr/>
      </w:pPr>
      <w:r>
        <w:rPr>
          <w:rFonts w:ascii="Times New Roman;serif" w:hAnsi="Times New Roman;serif"/>
          <w:b w:val="false"/>
          <w:color w:val="000000"/>
          <w:sz w:val="20"/>
        </w:rPr>
        <w:t>Cost of revenue was $85.1 million for the three months ended September 30, 2025 as compared to $80.5 million for the three months ended September 30, 2024, an increase of $4.6 million, or 5.7%. The increase was primarily driven by $2.1 million in increased costs stemming from higher transaction volumes and associated third-party costs, including higher platform usage of which approximately $4.6 million was third-party costs associated with payment solutions offset by a decrease of $2.4 million from third-party costs associated with provider solutions, primarily from timing of prior acquisition synergy attainment. Additionally, there was a $1.8 million of increased personnel costs, net of capitalization expense</w:t>
      </w:r>
      <w:r>
        <w:rPr>
          <w:rFonts w:ascii="Times New Roman;serif" w:hAnsi="Times New Roman;serif"/>
          <w:b w:val="false"/>
          <w:color w:val="000000"/>
          <w:sz w:val="20"/>
          <w:shd w:fill="FFFFFF" w:val="clear"/>
        </w:rPr>
        <w: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was $45.2 million for the three months ended September 30, 2025 as compared to $38.5 million for the three months ended September 30, 2024, an increase of $6.7 million, or 17.4%. The increase was primarily driven by an increase in channel partner fees and amortization of the internal commission deferred contract costs asset of $3.3 million, increased personnel costs of $1.4 million and increased stock-based compensation costs of $0.8 million.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was $32.4 million for the three months ended September 30, 2025 as compared to $22.7 million for the three months ended September 30, 2024, an increase of $9.7 million, or 42.8%. The increase was primarily due to an increase in third party professional fees of $7.1 million from acquisition activity, the August 2025 Debt Repricing and secondary offerings during the quarter. Additionally, there was an increase in stock-based compensation expense of $2.4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was $12.4 million for the three months ended September 30, 2025 as compared to $11.1 million for the three months ended September 30, 2024, an increase of $1.3 million, or 11.9%. The increase was primarily due to an increase in personnel costs of $0.8 million and an increase in stock-based compensation expense of $0.4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$33.3 million for the three months ended September 30, 2025, as compared to $60.2 million for the three months ended September 30, 2024, a decrease of $26.9 million, or 44.7%. The decrease was due to several intangible assets becoming fully amortized in the prior year, driving a decrease in intangible amortization.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pPr>
      <w:r>
        <w:rPr>
          <w:rFonts w:ascii="Times New Roman;serif" w:hAnsi="Times New Roman;serif"/>
          <w:b w:val="false"/>
          <w:color w:val="000000"/>
          <w:sz w:val="20"/>
        </w:rPr>
        <w:t xml:space="preserve">Total interest expense was $17.5 million for the three months ended September 30, 2025 as compared to $18.5 million for the three months ended September 30, 2024, a decrease of $0.9 million, or 5.1%. </w:t>
      </w:r>
      <w:r>
        <w:rPr>
          <w:rFonts w:ascii="Times New Roman;serif" w:hAnsi="Times New Roman;serif"/>
          <w:b w:val="false"/>
          <w:color w:val="000000"/>
          <w:sz w:val="20"/>
          <w:shd w:fill="FFFFFF" w:val="clear"/>
        </w:rPr>
        <w:t>The slight decrease was primarily attributable to debt repricings associated with the First Lien Credit Facility executed in December 2024 and August 2025 partially offset by a favorable interest rate swap that matured in October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 Expense/(Benefit)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was $12.1 million for the three months ended September 30, 2025, as compared to an income tax expense of $3.3 million for the three months ended September 30, 2024, an increase of $8.8 million. The increase was primarily driven by the increase in pre-tax income/(loss).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 for the Nine Months Ended September 30, 2025 and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consolidated operating results for the periods indicated and percentage of revenue for each line item:</w:t>
      </w:r>
    </w:p>
    <w:tbl>
      <w:tblPr>
        <w:tblW w:w="10205" w:type="dxa"/>
        <w:jc w:val="left"/>
        <w:tblInd w:w="0" w:type="dxa"/>
        <w:tblLayout w:type="fixed"/>
        <w:tblCellMar>
          <w:top w:w="28" w:type="dxa"/>
          <w:left w:w="28" w:type="dxa"/>
          <w:bottom w:w="28" w:type="dxa"/>
          <w:right w:w="28" w:type="dxa"/>
        </w:tblCellMar>
      </w:tblPr>
      <w:tblGrid>
        <w:gridCol w:w="976"/>
        <w:gridCol w:w="550"/>
        <w:gridCol w:w="544"/>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19"/>
        <w:gridCol w:w="324"/>
        <w:gridCol w:w="318"/>
      </w:tblGrid>
      <w:tr>
        <w:trPr/>
        <w:tc>
          <w:tcPr>
            <w:tcW w:w="9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0191" w:type="dxa"/>
        <w:jc w:val="left"/>
        <w:tblInd w:w="0" w:type="dxa"/>
        <w:tblLayout w:type="fixed"/>
        <w:tblCellMar>
          <w:top w:w="28" w:type="dxa"/>
          <w:left w:w="28" w:type="dxa"/>
          <w:bottom w:w="28" w:type="dxa"/>
          <w:right w:w="28" w:type="dxa"/>
        </w:tblCellMar>
      </w:tblPr>
      <w:tblGrid>
        <w:gridCol w:w="831"/>
        <w:gridCol w:w="730"/>
        <w:gridCol w:w="734"/>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31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Volume-based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was $795.7 million for the nine months ended September 30, 2025 as compared to $699.4 million for the nine months ended September 30, 2024, an increase of $96.3 million, or 13.8%, of which $54.2 million was attributed to subscription revenue from new and existing clients, almost all of which is generated by provider solutions. Another $41.8 million was attributed to volume-based revenue primarily related to expansion of existing client usage, most of which was generated by patient payments solutions.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Revenue (Exclusive of 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revenue was $255.5 million for the nine months ended September 30, 2025 as compared to $236.2 million for the nine months ended September 30, 2024, an increase of $19.3 million, or 8.2%. The increase was primarily driven by $13.9 million in increased costs stemming from higher transaction volume and associated third-party costs, including higher platform usage, of which approximately $20.1 million was third-party costs associated with payment solutions offset by a decrease of $6.2 million from third-party costs associated with provider solutions, primarily from timing of prior acquisition synergy attainment. Additionally, there was an increase in personnel costs, net of capitalization expenses, of $5.8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jc w:val="left"/>
        <w:rPr/>
      </w:pPr>
      <w:r>
        <w:rPr>
          <w:rFonts w:ascii="Times New Roman;serif" w:hAnsi="Times New Roman;serif"/>
          <w:b w:val="false"/>
          <w:color w:val="000000"/>
          <w:sz w:val="20"/>
        </w:rPr>
        <w:t>Sales and marketing expense was $128.8 million for the nine months ended September 30, 2025 as compared to $117.9 million for the nine months ended September 30, 2024, an increase of $10.9 million, or 9.2%</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increase was primarily driven by an increase in channel partner fees and amortization of the internal commission deferred contract costs asset of $11.3 million associated with revenue growth.</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was $84.9 million for the nine months ended September 30, 2025 as compared to $88.8 million for the nine months ended September 30, 2024, a decrease of $3.9 million, or 4.4%. The decrease was primarily due to a reduction in stock-based compensation expense of $8.6 million attributable to the recognition of performance condition options that did not recur during the nine months ended September 30, 2025 (see “Impacts of IPO” section above) partially offset by an increase in personnel costs of $3.9 million.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was $36.1 million for the nine months ended September 30, 2025 as compared to $37.3 million for the nine months ended September 30, 2024, a decrease of $1.2 million, or 3.2%. The decrease was primarily driven by a decrease in stock-based compensation expense of $3.0 million attributable to the recognition of performance condition options that did not recur during the nine months ended September 30, 2025 (see “Impacts of IPO” section above) partially offset by an increase in personnel costs, net of capitalization expenses of $1.8 million.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$100.1 million for the nine months ended September 30, 2025, as compared to $148.6 million for the nine months ended September 30, 2024, a decrease of $48.5 million, or 32.6%. The decrease was due to several intangible assets becoming fully amortized in the prior year, driving a decrease in intangible amortization.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pPr>
      <w:r>
        <w:rPr>
          <w:rFonts w:ascii="Times New Roman;serif" w:hAnsi="Times New Roman;serif"/>
          <w:b w:val="false"/>
          <w:color w:val="000000"/>
          <w:sz w:val="20"/>
        </w:rPr>
        <w:t xml:space="preserve">Total interest expense was $54.7 million for the nine months ended September 30, 2025 as compared to $126.2 million for the nine months ended September 30, 2024, a decrease of $71.5 million, or 56.7%. </w:t>
      </w:r>
      <w:r>
        <w:rPr>
          <w:rFonts w:ascii="Times New Roman;serif" w:hAnsi="Times New Roman;serif"/>
          <w:b w:val="false"/>
          <w:color w:val="000000"/>
          <w:sz w:val="20"/>
          <w:shd w:fill="FFFFFF" w:val="clear"/>
        </w:rPr>
        <w:t>The decrease was driven by the paydowns during 2024 totaling $1.0 billion on our First Lien Credit Facility decreasing the corresponding interest expense.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 Benefit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was $43.5 million for the nine months ended September 30, 2025 as compared to an income tax benefit of $17.4 million for the nine months ended September 30, 2024, an increase of $60.9 million. The increase was primarily driven by the increase in pre-tax income/(loss).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present adjusted EBITDA, adjusted EBITDA margin, non-GAAP net income/(loss), and non-GAAP net income/(loss)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adjusted EBITDA margin, non-GAAP net income/(loss), and non-GAAP net income/(loss) per share are not recognized terms under GAAP and should not be considered as an alternative to net income (loss) or net income (loss) margin as measures of financial performance or cash provided by operating activities as a measure of liquidity,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income/(loss) before interest expense, net, income tax expense/(benefit), depreciation and amortization, and as further adjusted for stock-based compensation expense, acquisition and integration costs, asset and lease impairments, costs related to amended debt agreements, and costs related to our IPO and the Secondary Offerings. Adjusted EBITDA margin represents adjusted EBITDA as a percentage of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income/(loss) to adjusted EBITDA and net income/(loss) margin to adjusted EBITDA margin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325"/>
        <w:gridCol w:w="1144"/>
        <w:gridCol w:w="114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32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126,184 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(17,398)</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amended debt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IPO related and Secondary Offering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283,343 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268,651 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795,740 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699,447 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(a)Adjustments relate to additional lease costs due to the relocation of our Louisville office totaling $0.2 million and $0.7 million, respectively, and executive severance totaling $0.0 million and $0.6 million, respectively, for the three and nine months ended September 30, 2025. For the three and nine months ended September 30, 2024, adjustments relate to additional lease costs due to the relocation of our Louisville office.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Net Income/(Loss) and Non-GAAP Net Income/(Loss)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define non-GAAP net income as GAAP net income/(loss) excluding the impact of stock-based compensation, acquisition and integration costs, asset and lease impairments, costs related to our IPO, and the Secondary Offerings, and costs related to amended debt agreements and amortization of intangibles. The tax effects of the adjustments are calculated using a management estimated annual effective non-GAAP tax rate of 21%, which is based on our statutory federal tax rate and provides consistency across interim reporting periods by eliminating the effects of non-recurring and period specific items. Due to the differences in the tax treatment of items excluded from non-GAAP net income, our estimated tax rate on non-GAAP net income may differ from our GAAP tax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is shown on both a basic and diluted basis and is defined as non-GAAP net income divided by the basic or diluted weighted-average shares, respectively.</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non-GAAP net income/(loss) and non-GAAP net income/(loss) per share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264"/>
        <w:gridCol w:w="1097"/>
        <w:gridCol w:w="1102"/>
        <w:gridCol w:w="109"/>
        <w:gridCol w:w="109"/>
        <w:gridCol w:w="109"/>
        <w:gridCol w:w="268"/>
        <w:gridCol w:w="918"/>
        <w:gridCol w:w="137"/>
        <w:gridCol w:w="137"/>
        <w:gridCol w:w="137"/>
        <w:gridCol w:w="137"/>
        <w:gridCol w:w="268"/>
        <w:gridCol w:w="918"/>
        <w:gridCol w:w="137"/>
        <w:gridCol w:w="109"/>
        <w:gridCol w:w="109"/>
        <w:gridCol w:w="109"/>
        <w:gridCol w:w="241"/>
        <w:gridCol w:w="945"/>
        <w:gridCol w:w="121"/>
        <w:gridCol w:w="121"/>
        <w:gridCol w:w="121"/>
        <w:gridCol w:w="121"/>
        <w:gridCol w:w="241"/>
        <w:gridCol w:w="945"/>
        <w:gridCol w:w="175"/>
      </w:tblGrid>
      <w:tr>
        <w:trPr/>
        <w:tc>
          <w:tcPr>
            <w:tcW w:w="126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amended debt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and Secondary Offering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174,352,079 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171,578,311 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173,388,077 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142,367,458 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181,240,033 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176,181,511 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181,165,738 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146,843,861 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(a)Adjustments relate to additional lease costs due to the relocation of our Louisville office totaling $0.2 million and $0.7 million, respectively, and executive severance totaling $0.0 million and $0.6 million, respectively, for the three and nine months ended September 30, 2025. For the three and nine months ended September 30, 2024, adjustments relate to additional lease costs due to the relocation of our Louisville office.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Performance Metrics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Revenue Retention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regularly monitor and review our Net Revenue Retention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Revenue Retention Rate for September 30, 2025 and 2024, respectively:</w:t>
      </w:r>
    </w:p>
    <w:tbl>
      <w:tblPr>
        <w:tblW w:w="5882" w:type="dxa"/>
        <w:jc w:val="center"/>
        <w:tblInd w:w="0" w:type="dxa"/>
        <w:tblLayout w:type="fixed"/>
        <w:tblCellMar>
          <w:top w:w="28" w:type="dxa"/>
          <w:left w:w="28" w:type="dxa"/>
          <w:bottom w:w="28" w:type="dxa"/>
          <w:right w:w="28" w:type="dxa"/>
        </w:tblCellMar>
      </w:tblPr>
      <w:tblGrid>
        <w:gridCol w:w="885"/>
        <w:gridCol w:w="779"/>
        <w:gridCol w:w="781"/>
        <w:gridCol w:w="109"/>
        <w:gridCol w:w="109"/>
        <w:gridCol w:w="109"/>
        <w:gridCol w:w="352"/>
        <w:gridCol w:w="264"/>
        <w:gridCol w:w="557"/>
        <w:gridCol w:w="224"/>
        <w:gridCol w:w="224"/>
        <w:gridCol w:w="224"/>
        <w:gridCol w:w="352"/>
        <w:gridCol w:w="264"/>
        <w:gridCol w:w="649"/>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Twelve months ended September 30,</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 month Net Revenue Retention Rate in the ninth quarter after acquisition, which is the earliest point that comparable post-acquisition invoices are available for both the current and prior twelve-month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 Count with &gt;$100,000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regularly monitor and review our count of clients who generate more than $100,000 of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count of clients who generate more than $100,000 of revenue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tbl>
      <w:tblPr>
        <w:tblW w:w="7136" w:type="dxa"/>
        <w:jc w:val="center"/>
        <w:tblInd w:w="0" w:type="dxa"/>
        <w:tblLayout w:type="fixed"/>
        <w:tblCellMar>
          <w:top w:w="28" w:type="dxa"/>
          <w:left w:w="28" w:type="dxa"/>
          <w:bottom w:w="28" w:type="dxa"/>
          <w:right w:w="28" w:type="dxa"/>
        </w:tblCellMar>
      </w:tblPr>
      <w:tblGrid>
        <w:gridCol w:w="1305"/>
        <w:gridCol w:w="1144"/>
        <w:gridCol w:w="1151"/>
        <w:gridCol w:w="109"/>
        <w:gridCol w:w="109"/>
        <w:gridCol w:w="109"/>
        <w:gridCol w:w="339"/>
        <w:gridCol w:w="339"/>
        <w:gridCol w:w="339"/>
        <w:gridCol w:w="339"/>
        <w:gridCol w:w="339"/>
        <w:gridCol w:w="339"/>
        <w:gridCol w:w="339"/>
        <w:gridCol w:w="339"/>
        <w:gridCol w:w="497"/>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September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Count with &gt; $100,000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“Risk factors” in the 2024 Form 10-K.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30, 2025 and December 31, 2024, we had restricted cash of $24.3 million and $22.4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2025, we paid approximately $458.6 million in cash in respect of the cash component of the merger consideration for our acquisition of Iodine. On October 1, 2025, we also entered into the Twelfth Amendment to the First Lien Credit Agreement to increase our First Lien Credit Facility by $250.0 million, increase the maximum borrowing capacity under the revolving credit facility from $400.0 million to $500.0 million, and decrease the interest rate under the revolving credit facility from 1.75% per annum above SOFR to 1.50% per annum above SOFR. We drew $30.0 million on the revolving credit facility to help fund the Iodine acquisition.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liquidity is influenced by many factors, including timing of revenue and corresponding cash collections, the amount and timing of investments in strategic initiatives, our investments in property, equipment, and software, as well as other factors described under “Risk factors” in the 2024 Form 10-K. Depending on the severity and direct impact of these factors on us, we may not be able to secure additional financing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flows from operating, investing, and financing activities for the nine months ended September 30, 2025 and September 30, 2024, are summarized in the following table:</w:t>
      </w:r>
    </w:p>
    <w:tbl>
      <w:tblPr>
        <w:tblW w:w="9615" w:type="dxa"/>
        <w:jc w:val="left"/>
        <w:tblInd w:w="0" w:type="dxa"/>
        <w:tblLayout w:type="fixed"/>
        <w:tblCellMar>
          <w:top w:w="28" w:type="dxa"/>
          <w:left w:w="28" w:type="dxa"/>
          <w:bottom w:w="28" w:type="dxa"/>
          <w:right w:w="28" w:type="dxa"/>
        </w:tblCellMar>
      </w:tblPr>
      <w:tblGrid>
        <w:gridCol w:w="1254"/>
        <w:gridCol w:w="1103"/>
        <w:gridCol w:w="1107"/>
        <w:gridCol w:w="109"/>
        <w:gridCol w:w="109"/>
        <w:gridCol w:w="109"/>
        <w:gridCol w:w="236"/>
        <w:gridCol w:w="927"/>
        <w:gridCol w:w="122"/>
        <w:gridCol w:w="122"/>
        <w:gridCol w:w="122"/>
        <w:gridCol w:w="122"/>
        <w:gridCol w:w="236"/>
        <w:gridCol w:w="927"/>
        <w:gridCol w:w="122"/>
        <w:gridCol w:w="109"/>
        <w:gridCol w:w="109"/>
        <w:gridCol w:w="109"/>
        <w:gridCol w:w="211"/>
        <w:gridCol w:w="826"/>
        <w:gridCol w:w="109"/>
        <w:gridCol w:w="109"/>
        <w:gridCol w:w="109"/>
        <w:gridCol w:w="109"/>
        <w:gridCol w:w="308"/>
        <w:gridCol w:w="308"/>
        <w:gridCol w:w="472"/>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0" w:after="240"/>
        <w:jc w:val="left"/>
        <w:rPr/>
      </w:pPr>
      <w:r>
        <w:rPr>
          <w:rFonts w:ascii="Times New Roman;serif" w:hAnsi="Times New Roman;serif"/>
          <w:b w:val="false"/>
          <w:color w:val="000000"/>
          <w:sz w:val="20"/>
        </w:rPr>
        <w:t>Cash flows provided by operating activities were $243.0 million for the nine months ended September 30, 2025 as compared to $105.0 million for the nine months ended September 30, 2024, an increase of $138.0 million</w:t>
      </w:r>
      <w:r>
        <w:rPr>
          <w:rFonts w:ascii="Times New Roman;serif" w:hAnsi="Times New Roman;serif"/>
          <w:b w:val="false"/>
          <w:color w:val="000000"/>
          <w:sz w:val="20"/>
          <w:shd w:fill="FFFFFF" w:val="clear"/>
        </w:rPr>
        <w:t>. This increase is largely driven by changes in working capital, increases in revenue and profits, and decreases in cash paid for interest due to multiple paydowns on our First Lien Credit Facility in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0" w:after="240"/>
        <w:jc w:val="left"/>
        <w:rPr/>
      </w:pPr>
      <w:r>
        <w:rPr>
          <w:rFonts w:ascii="Times New Roman;serif" w:hAnsi="Times New Roman;serif"/>
          <w:b w:val="false"/>
          <w:color w:val="000000"/>
          <w:sz w:val="20"/>
        </w:rPr>
        <w:t>Cash flows used in investing activities were $17.1 million for the nine months ended September 30, 2025 as compared to $21.0 million for the nine months ended September 30, 2024 a decrease of cash used of $4.0 million. Cash flows used in investing activities decreased due t</w:t>
      </w:r>
      <w:r>
        <w:rPr>
          <w:rFonts w:ascii="Times New Roman;serif" w:hAnsi="Times New Roman;serif"/>
          <w:b w:val="false"/>
          <w:color w:val="000000"/>
          <w:sz w:val="20"/>
          <w:shd w:fill="FFFFFF" w:val="clear"/>
        </w:rPr>
        <w:t xml:space="preserve">o less purchases of property and equipment during the nine months ended September 30, 2025 compared to the nine months ended September 30, 2024.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0" w:after="240"/>
        <w:jc w:val="left"/>
        <w:rPr/>
      </w:pPr>
      <w:r>
        <w:rPr>
          <w:rFonts w:ascii="Times New Roman;serif" w:hAnsi="Times New Roman;serif"/>
          <w:b w:val="false"/>
          <w:color w:val="000000"/>
          <w:sz w:val="20"/>
        </w:rPr>
        <w:t>Cash flows provided by financing activities were $14.8 million for the nine months ended September 30, 2025 as compared to $15.0 million for the nine months ended September 30, 2024, a decrease of $0.2 million.</w:t>
      </w:r>
      <w:r>
        <w:rPr>
          <w:color w:val="000000"/>
          <w:shd w:fill="FFFFFF" w:val="clear"/>
        </w:rPr>
        <w:t xml:space="preserve"> </w:t>
      </w:r>
      <w:r>
        <w:rPr>
          <w:rFonts w:ascii="Times New Roman;serif" w:hAnsi="Times New Roman;serif"/>
          <w:b w:val="false"/>
          <w:color w:val="000000"/>
          <w:sz w:val="20"/>
          <w:shd w:fill="FFFFFF" w:val="clear"/>
        </w:rPr>
        <w:t xml:space="preserve">The net cash provided in 2024 was driven by proceeds from last year's IPO, net of underwriting discounts and the corresponding paydown on debt, as well as proceeds from the issuance of debt, net of creditor fees, during the nine months ended September 30, 2024. The net cash provided in 2025 was from proceeds from the exercise of stock options during the nine months ended September 30, 2025.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Refer to Item 1, Financial Statements, Notes 11 (Accounts Receivable Securitization) and 12 (Debt), for a description of our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disclosed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Refer to Item 1, Financial Statements, Note 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JOBS Act Election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arising from transactions in the normal course of our business. Such risks are principally associated with credit risk and 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exposure to interest rate risk is related to our First Lien Credit Facility, which bears interest at SOFR plus 2.00% as of September 30, 2025. A hypothetical 100 basis point increase or decrease in the current effective rate would have an impact on our interest expense of approximately $3.2 million for the three months ended September 30, 2025 or $9.4 million for the nine months ended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order to limit exposure to risk, we maintain derivative instruments with creditworthy institutions to hedge against changing interest rate fluctuations. We utilize interest rate swap contracts and other non-derivative hedging instruments to manage such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conducted an evaluation of the effectiveness of our disclosure controls and procedures (as such term is defined in Rule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 13a-15(f) under the Exchange Act) that occurred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Part II, Item 1 can be found under Item 1, Financial Statements, Note 19 (Commitments and Contingencies), to the unaudited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24, 2025, Eric Lee (Ric) Sinclair III, our Chief Business Officer, adopted a trading plan intended to satisfy the affirmative defense conditions of Rule 10b5-1(c) under the Exchange Act. Mr. Sinclair’s plan provides for (i) the exercise of up to 90,750 vested stock options and the associated sale of up 90,750 shares of the Company’s common stock; (ii) the exercise of vested stock options and the associated sale shares of the Company’s common stock with the actual number of such options and associated shares to be determined based on unsold shares from Mr. Sinclair's previously adopted trading plan dated February 19, 2025; and (iii) the exercise of options subject to performance-based vesting conditions and the associated sale of shares of the Company’s common stock, with the actual number of such options and associated shares to be determined based on the level of achievement of the performance criteria associated with the award. Mr. Sinclair’s trading plan will expire December 31, 2026, or upon the earlier sale of all the shares subject to the plan.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9, 2025, Craig Bridge, our Chief Transformation Officer, adopted a trading plan intended to satisfy the affirmative defense conditions of Rule 10b5-1(c) under the Exchange Act. Mr. Bridge’s plan provides for (i) the exercise of up to 112,485 vested stock options and the associated sale of up 112,485 shares of the Company’s common stock; (ii) the exercise of vested stock options and the associated sale shares of the Company’s common stock with the actual number of such options and associated shares to be determined based on unsold shares from Mr. Bridge's previously adopted trading plan dated November 27, 2024; and (iii) the exercise of options subject to performance-based vesting conditions and the associated sale of shares of the Company’s common stock, with the actual number of such options and associated shares to be determined based on the level of achievement of the performance criteria associated with the award. . Mr. Bridge’s trading plan will expire December 31, 2026, or upon the earlier sale of all the shares subject to the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11, 2025, Melissa Miller, our Chief Marketing Officer, adopted a trading plan intended to satisfy the affirmative defense conditions of Rule 10b5-1(c) under the Exchange Act. Ms. Miller’s plan provides for (i) the exercise of up to 101,470 vested stock options and the associated sale of up 101,470 shares of the Company’s common stock; and (ii) the exercise of options subject to performance-based vesting conditions and the associated sale of shares of the Company’s common stock, with the actual number of such options and associated shares to be determined based on the level of achievement of the performance criteria associated with the award. Ms. Miller’s trading plan will expire December 31, 2026, or upon the earlier sale of all the shares subject to the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2025, Steven Oreskovich, our Chief Financial Officer, adopted a trading plan intended to satisfy the affirmative defense conditions of Rule 10b5-1(c) under the Exchange Act. Mr. Oreskovich’s plan provides for (i) the exercise of up to 519,277 vested stock options and the associated sale of up 519,277 shares of the Company’s common stock; and (ii) the exercise of options subject to performance-based vesting conditions and the associated sale of shares of the Company’s common stock, with the actual number of such options and associated shares to be determined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of achievement of the performance criteria associated with the award. Mr. Oreskovich’s trading plan will expire December 31, 2026, or upon the earlier sale of all the shares subject to the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11, 2025, Christopher Schremser, our Chief Technology Officer, adopted a trading plan intended to satisfy the affirmative defense conditions of Rule 10b5-1(c) under the Exchange Act. Mr. Schremser’s plan provides for (i) the exercise of up to 454,682 vested stock options and the associated sale of up 454,682 shares of the Company’s common stock; and (ii) the exercise of options subject to performance-based vesting conditions and the associated sale of shares of the Company’s common stock, with the actual number of such options and associated shares to be determined based on the level of achievement of the performance criteria associated with the award. Mr. Schremser's trading plan will expire December 31, 2026, or upon the earlier sale of all the shares subject to the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none of the Company’s other directors or officers adopted, modified,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32"/>
        <w:gridCol w:w="2593"/>
        <w:gridCol w:w="2602"/>
        <w:gridCol w:w="109"/>
        <w:gridCol w:w="109"/>
        <w:gridCol w:w="109"/>
        <w:gridCol w:w="250"/>
        <w:gridCol w:w="250"/>
        <w:gridCol w:w="35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Filed</w:t>
              <w:br/>
              <w:t>Herewith</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Agreement and Plan of Merger, dated as of July 23, 2025, by and among Waystar Holding Corp., Morton Merger Sub 1, Inc., Isotope Holding, LLC, Iodine Software Holdings, Inc., Iodine Software Parent, LLC and Shareholder Representative Services LLC, as the equityholder representative (incorporated by reference to Exhibit 2.1 to the Company's Current Report on Form 8-K filed on July 23,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Certificate of Amendment of Amended and Restated Certificate of Incorporation of Waystar Holding Corp. (incorporated by reference to Exhibit 3.1 to the Company’s Current Report on Form 8-K filed on June 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Amended and Restated Bylaws of Waystar Holding Corp. (incorporated by reference to Exhibit 4.2 to the Company’s Registration Statement on Form S-8 filed on June 10,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18"/>
                  <w:u w:val="single"/>
                </w:rPr>
                <w:t>Amendment No.</w:t>
              </w:r>
            </w:hyperlink>
            <w:hyperlink r:id="rId6">
              <w:r>
                <w:rPr>
                  <w:rStyle w:val="InternetLink"/>
                  <w:rFonts w:ascii="Times New Roman;serif" w:hAnsi="Times New Roman;serif"/>
                  <w:b w:val="false"/>
                  <w:color w:val="000080"/>
                  <w:sz w:val="18"/>
                  <w:u w:val="single"/>
                </w:rPr>
                <w:t xml:space="preserve"> </w:t>
              </w:r>
            </w:hyperlink>
            <w:hyperlink r:id="rId7">
              <w:r>
                <w:rPr>
                  <w:rStyle w:val="InternetLink"/>
                  <w:rFonts w:ascii="Times New Roman;serif" w:hAnsi="Times New Roman;serif"/>
                  <w:b w:val="false"/>
                  <w:color w:val="000080"/>
                  <w:sz w:val="18"/>
                  <w:u w:val="single"/>
                </w:rPr>
                <w:t>2</w:t>
              </w:r>
            </w:hyperlink>
            <w:hyperlink r:id="rId8">
              <w:r>
                <w:rPr>
                  <w:rStyle w:val="InternetLink"/>
                  <w:rFonts w:ascii="Times New Roman;serif" w:hAnsi="Times New Roman;serif"/>
                  <w:b w:val="false"/>
                  <w:color w:val="000080"/>
                  <w:sz w:val="18"/>
                  <w:u w:val="single"/>
                </w:rPr>
                <w:t xml:space="preserve"> to the Stockholders Agreement among Waystar Holding Corp. and the other parties named therein, dated as of </w:t>
              </w:r>
            </w:hyperlink>
            <w:hyperlink r:id="rId9">
              <w:r>
                <w:rPr>
                  <w:rStyle w:val="InternetLink"/>
                  <w:rFonts w:ascii="Times New Roman;serif" w:hAnsi="Times New Roman;serif"/>
                  <w:b w:val="false"/>
                  <w:color w:val="000080"/>
                  <w:sz w:val="18"/>
                  <w:u w:val="single"/>
                </w:rPr>
                <w:t>July 23</w:t>
              </w:r>
            </w:hyperlink>
            <w:hyperlink r:id="rId10">
              <w:r>
                <w:rPr>
                  <w:rStyle w:val="InternetLink"/>
                  <w:rFonts w:ascii="Times New Roman;serif" w:hAnsi="Times New Roman;serif"/>
                  <w:b w:val="false"/>
                  <w:color w:val="000080"/>
                  <w:sz w:val="18"/>
                  <w:u w:val="single"/>
                </w:rPr>
                <w:t>, 2025 (incorporated by reference to Exhibit 10.</w:t>
              </w:r>
            </w:hyperlink>
            <w:hyperlink r:id="rId11">
              <w:r>
                <w:rPr>
                  <w:rStyle w:val="InternetLink"/>
                  <w:rFonts w:ascii="Times New Roman;serif" w:hAnsi="Times New Roman;serif"/>
                  <w:b w:val="false"/>
                  <w:color w:val="000080"/>
                  <w:sz w:val="18"/>
                  <w:u w:val="single"/>
                </w:rPr>
                <w:t>2</w:t>
              </w:r>
            </w:hyperlink>
            <w:hyperlink r:id="rId12">
              <w:r>
                <w:rPr>
                  <w:rStyle w:val="InternetLink"/>
                  <w:rFonts w:ascii="Times New Roman;serif" w:hAnsi="Times New Roman;serif"/>
                  <w:b w:val="false"/>
                  <w:color w:val="000080"/>
                  <w:sz w:val="18"/>
                  <w:u w:val="single"/>
                </w:rPr>
                <w:t xml:space="preserve"> to the Company’s </w:t>
              </w:r>
            </w:hyperlink>
            <w:hyperlink r:id="rId13">
              <w:r>
                <w:rPr>
                  <w:rStyle w:val="InternetLink"/>
                  <w:rFonts w:ascii="Times New Roman;serif" w:hAnsi="Times New Roman;serif"/>
                  <w:b w:val="false"/>
                  <w:color w:val="000080"/>
                  <w:sz w:val="18"/>
                  <w:u w:val="single"/>
                </w:rPr>
                <w:t>Current</w:t>
              </w:r>
            </w:hyperlink>
            <w:hyperlink r:id="rId14">
              <w:r>
                <w:rPr>
                  <w:rStyle w:val="InternetLink"/>
                  <w:rFonts w:ascii="Times New Roman;serif" w:hAnsi="Times New Roman;serif"/>
                  <w:b w:val="false"/>
                  <w:color w:val="000080"/>
                  <w:sz w:val="18"/>
                  <w:u w:val="single"/>
                </w:rPr>
                <w:t xml:space="preserve"> Report on Form </w:t>
              </w:r>
            </w:hyperlink>
            <w:hyperlink r:id="rId15">
              <w:r>
                <w:rPr>
                  <w:rStyle w:val="InternetLink"/>
                  <w:rFonts w:ascii="Times New Roman;serif" w:hAnsi="Times New Roman;serif"/>
                  <w:b w:val="false"/>
                  <w:color w:val="000080"/>
                  <w:sz w:val="18"/>
                  <w:u w:val="single"/>
                </w:rPr>
                <w:t>8-K</w:t>
              </w:r>
            </w:hyperlink>
            <w:hyperlink r:id="rId16">
              <w:r>
                <w:rPr>
                  <w:rStyle w:val="InternetLink"/>
                  <w:rFonts w:ascii="Times New Roman;serif" w:hAnsi="Times New Roman;serif"/>
                  <w:b w:val="false"/>
                  <w:color w:val="000080"/>
                  <w:sz w:val="18"/>
                  <w:u w:val="single"/>
                </w:rPr>
                <w:t xml:space="preserve"> filed on </w:t>
              </w:r>
            </w:hyperlink>
            <w:hyperlink r:id="rId17">
              <w:r>
                <w:rPr>
                  <w:rStyle w:val="InternetLink"/>
                  <w:rFonts w:ascii="Times New Roman;serif" w:hAnsi="Times New Roman;serif"/>
                  <w:b w:val="false"/>
                  <w:color w:val="000080"/>
                  <w:sz w:val="18"/>
                  <w:u w:val="single"/>
                </w:rPr>
                <w:t>July</w:t>
              </w:r>
            </w:hyperlink>
            <w:hyperlink r:id="rId18">
              <w:r>
                <w:rPr>
                  <w:rStyle w:val="InternetLink"/>
                  <w:rFonts w:ascii="Times New Roman;serif" w:hAnsi="Times New Roman;serif"/>
                  <w:b w:val="false"/>
                  <w:color w:val="000080"/>
                  <w:sz w:val="18"/>
                  <w:u w:val="single"/>
                </w:rPr>
                <w:t xml:space="preserve"> </w:t>
              </w:r>
            </w:hyperlink>
            <w:hyperlink r:id="rId19">
              <w:r>
                <w:rPr>
                  <w:rStyle w:val="InternetLink"/>
                  <w:rFonts w:ascii="Times New Roman;serif" w:hAnsi="Times New Roman;serif"/>
                  <w:b w:val="false"/>
                  <w:color w:val="000080"/>
                  <w:sz w:val="18"/>
                  <w:u w:val="single"/>
                </w:rPr>
                <w:t>2</w:t>
              </w:r>
            </w:hyperlink>
            <w:hyperlink r:id="rId20">
              <w:r>
                <w:rPr>
                  <w:rStyle w:val="InternetLink"/>
                  <w:rFonts w:ascii="Times New Roman;serif" w:hAnsi="Times New Roman;serif"/>
                  <w:b w:val="false"/>
                  <w:color w:val="000080"/>
                  <w:sz w:val="18"/>
                  <w:u w:val="single"/>
                </w:rPr>
                <w:t>3</w:t>
              </w:r>
            </w:hyperlink>
            <w:hyperlink r:id="rId21">
              <w:r>
                <w:rPr>
                  <w:rStyle w:val="InternetLink"/>
                  <w:rFonts w:ascii="Times New Roman;serif" w:hAnsi="Times New Roman;serif"/>
                  <w:b w:val="false"/>
                  <w:color w:val="000080"/>
                  <w:sz w:val="18"/>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18"/>
                  <w:u w:val="single"/>
                </w:rPr>
                <w:t>Stockholder and Lockup Agreement among Waystar Holding Corp., AIO Holdings LP, William Chan and the other parties named therein, dated as of July 23, 2025</w:t>
              </w:r>
            </w:hyperlink>
            <w:hyperlink r:id="rId23">
              <w:r>
                <w:rPr>
                  <w:rStyle w:val="InternetLink"/>
                  <w:rFonts w:ascii="Times New Roman;serif" w:hAnsi="Times New Roman;serif"/>
                  <w:b w:val="false"/>
                  <w:color w:val="000080"/>
                  <w:sz w:val="18"/>
                  <w:u w:val="single"/>
                </w:rPr>
                <w:t xml:space="preserve"> </w:t>
              </w:r>
            </w:hyperlink>
            <w:hyperlink r:id="rId24">
              <w:r>
                <w:rPr>
                  <w:rStyle w:val="InternetLink"/>
                  <w:rFonts w:ascii="Times New Roman;serif" w:hAnsi="Times New Roman;serif"/>
                  <w:b w:val="false"/>
                  <w:color w:val="000080"/>
                  <w:sz w:val="18"/>
                  <w:u w:val="single"/>
                </w:rPr>
                <w:t>(incorporated by reference to Exhibit 10.</w:t>
              </w:r>
            </w:hyperlink>
            <w:hyperlink r:id="rId25">
              <w:r>
                <w:rPr>
                  <w:rStyle w:val="InternetLink"/>
                  <w:rFonts w:ascii="Times New Roman;serif" w:hAnsi="Times New Roman;serif"/>
                  <w:b w:val="false"/>
                  <w:color w:val="000080"/>
                  <w:sz w:val="18"/>
                  <w:u w:val="single"/>
                </w:rPr>
                <w:t>1</w:t>
              </w:r>
            </w:hyperlink>
            <w:hyperlink r:id="rId26">
              <w:r>
                <w:rPr>
                  <w:rStyle w:val="InternetLink"/>
                  <w:rFonts w:ascii="Times New Roman;serif" w:hAnsi="Times New Roman;serif"/>
                  <w:b w:val="false"/>
                  <w:color w:val="000080"/>
                  <w:sz w:val="18"/>
                  <w:u w:val="single"/>
                </w:rPr>
                <w:t xml:space="preserve"> to the Company’s Current Report on Form 8-K filed on July 23,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80"/>
                  <w:sz w:val="18"/>
                  <w:u w:val="single"/>
                </w:rPr>
                <w:t>Joinder Agreement to Amended and Restated Registration Rights Agreement, dated as of July 23, 2025</w:t>
              </w:r>
            </w:hyperlink>
            <w:hyperlink r:id="rId28">
              <w:r>
                <w:rPr>
                  <w:rStyle w:val="InternetLink"/>
                  <w:rFonts w:ascii="Times New Roman;serif" w:hAnsi="Times New Roman;serif"/>
                  <w:b w:val="false"/>
                  <w:color w:val="000080"/>
                  <w:sz w:val="18"/>
                  <w:u w:val="single"/>
                </w:rPr>
                <w:t xml:space="preserve"> </w:t>
              </w:r>
            </w:hyperlink>
            <w:hyperlink r:id="rId29">
              <w:r>
                <w:rPr>
                  <w:rStyle w:val="InternetLink"/>
                  <w:rFonts w:ascii="Times New Roman;serif" w:hAnsi="Times New Roman;serif"/>
                  <w:b w:val="false"/>
                  <w:color w:val="000080"/>
                  <w:sz w:val="18"/>
                  <w:u w:val="single"/>
                </w:rPr>
                <w:t>(incorporated by reference to Exhibit 10.</w:t>
              </w:r>
            </w:hyperlink>
            <w:hyperlink r:id="rId30">
              <w:r>
                <w:rPr>
                  <w:rStyle w:val="InternetLink"/>
                  <w:rFonts w:ascii="Times New Roman;serif" w:hAnsi="Times New Roman;serif"/>
                  <w:b w:val="false"/>
                  <w:color w:val="000080"/>
                  <w:sz w:val="18"/>
                  <w:u w:val="single"/>
                </w:rPr>
                <w:t>3</w:t>
              </w:r>
            </w:hyperlink>
            <w:hyperlink r:id="rId31">
              <w:r>
                <w:rPr>
                  <w:rStyle w:val="InternetLink"/>
                  <w:rFonts w:ascii="Times New Roman;serif" w:hAnsi="Times New Roman;serif"/>
                  <w:b w:val="false"/>
                  <w:color w:val="000080"/>
                  <w:sz w:val="18"/>
                  <w:u w:val="single"/>
                </w:rPr>
                <w:t xml:space="preserve"> to the Company’s Current Report on Form 8-K filed on July 23,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18"/>
                  <w:u w:val="single"/>
                </w:rPr>
                <w:t>Eleventh Amendment, dated as of August 12, 2025, to the First Lien Credit Agreement, among BNVC Holdings, Inc. (as successor to Derby Parent, Inc.), Waystar Technologies, Inc.(f/k/a Navicure, Inc.) (as successor to Derby Merger Sub, Inc. and BNVC Group Holdings, Inc.), JPMorgan Chase Bank, N.A., as Administrative Agent, Collateral Agent, and Issuing Bank, Barclays Bank PLC as Issuing Bank, Deutsche Bank AG New York Branch, as Issuing Bank, and each lender from time to time party thereto (incorporated by reference to Exhibit 10.1 to the Company’s Current Report on Form 8-K filed on August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7c1154a7f494eb98665b6e2e67bcada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7"/>
        <w:gridCol w:w="157"/>
        <w:gridCol w:w="159"/>
        <w:gridCol w:w="109"/>
        <w:gridCol w:w="109"/>
        <w:gridCol w:w="109"/>
        <w:gridCol w:w="2928"/>
        <w:gridCol w:w="2854"/>
        <w:gridCol w:w="2861"/>
        <w:gridCol w:w="109"/>
        <w:gridCol w:w="109"/>
        <w:gridCol w:w="109"/>
        <w:gridCol w:w="109"/>
        <w:gridCol w:w="109"/>
        <w:gridCol w:w="157"/>
      </w:tblGrid>
      <w:tr>
        <w:trPr/>
        <w:tc>
          <w:tcPr>
            <w:tcW w:w="2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80"/>
                  <w:sz w:val="18"/>
                  <w:u w:val="single"/>
                </w:rPr>
                <w:t>Twelfth</w:t>
              </w:r>
            </w:hyperlink>
            <w:hyperlink r:id="rId34">
              <w:r>
                <w:rPr>
                  <w:rStyle w:val="InternetLink"/>
                  <w:rFonts w:ascii="Times New Roman;serif" w:hAnsi="Times New Roman;serif"/>
                  <w:b w:val="false"/>
                  <w:color w:val="000080"/>
                  <w:sz w:val="18"/>
                  <w:u w:val="single"/>
                </w:rPr>
                <w:t xml:space="preserve"> Amendment, dated as of </w:t>
              </w:r>
            </w:hyperlink>
            <w:hyperlink r:id="rId35">
              <w:r>
                <w:rPr>
                  <w:rStyle w:val="InternetLink"/>
                  <w:rFonts w:ascii="Times New Roman;serif" w:hAnsi="Times New Roman;serif"/>
                  <w:b w:val="false"/>
                  <w:color w:val="000080"/>
                  <w:sz w:val="18"/>
                  <w:u w:val="single"/>
                </w:rPr>
                <w:t>October</w:t>
              </w:r>
            </w:hyperlink>
            <w:hyperlink r:id="rId36">
              <w:r>
                <w:rPr>
                  <w:rStyle w:val="InternetLink"/>
                  <w:rFonts w:ascii="Times New Roman;serif" w:hAnsi="Times New Roman;serif"/>
                  <w:b w:val="false"/>
                  <w:color w:val="000080"/>
                  <w:sz w:val="18"/>
                  <w:u w:val="single"/>
                </w:rPr>
                <w:t xml:space="preserve"> 1</w:t>
              </w:r>
            </w:hyperlink>
            <w:hyperlink r:id="rId37">
              <w:r>
                <w:rPr>
                  <w:rStyle w:val="InternetLink"/>
                  <w:rFonts w:ascii="Times New Roman;serif" w:hAnsi="Times New Roman;serif"/>
                  <w:b w:val="false"/>
                  <w:color w:val="000080"/>
                  <w:sz w:val="18"/>
                  <w:u w:val="single"/>
                </w:rPr>
                <w:t xml:space="preserve">, 2025, to the First Lien Credit Agreement, among BNVC Holdings, Inc. (as successor to Derby Parent, Inc.), Waystar Technologies, Inc.(f/k/a Navicure, Inc.) (as successor to Derby Merger Sub, Inc. and BNVC Group Holdings, Inc.), JPMorgan Chase Bank, N.A., as Administrative Agent, Collateral Agent, and Issuing Bank, Barclays Bank PLC as Issuing Bank, Deutsche Bank AG New York Branch, as Issuing Bank, and each lender from time to time party thereto (incorporated by reference to Exhibit 10.1 to the Company’s Current Report on Form 8-K filed on </w:t>
              </w:r>
            </w:hyperlink>
            <w:hyperlink r:id="rId38">
              <w:r>
                <w:rPr>
                  <w:rStyle w:val="InternetLink"/>
                  <w:rFonts w:ascii="Times New Roman;serif" w:hAnsi="Times New Roman;serif"/>
                  <w:b w:val="false"/>
                  <w:color w:val="000080"/>
                  <w:sz w:val="18"/>
                  <w:u w:val="single"/>
                </w:rPr>
                <w:t>October</w:t>
              </w:r>
            </w:hyperlink>
            <w:hyperlink r:id="rId39">
              <w:r>
                <w:rPr>
                  <w:rStyle w:val="InternetLink"/>
                  <w:rFonts w:ascii="Times New Roman;serif" w:hAnsi="Times New Roman;serif"/>
                  <w:b w:val="false"/>
                  <w:color w:val="000080"/>
                  <w:sz w:val="18"/>
                  <w:u w:val="single"/>
                </w:rPr>
                <w:t xml:space="preserve"> 1</w:t>
              </w:r>
            </w:hyperlink>
            <w:hyperlink r:id="rId40">
              <w:r>
                <w:rPr>
                  <w:rStyle w:val="InternetLink"/>
                  <w:rFonts w:ascii="Times New Roman;serif" w:hAnsi="Times New Roman;serif"/>
                  <w:b w:val="false"/>
                  <w:color w:val="000080"/>
                  <w:sz w:val="18"/>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93025-ex311.htm">
              <w:r>
                <w:rPr>
                  <w:rStyle w:val="InternetLink"/>
                  <w:rFonts w:ascii="Times New Roman;serif" w:hAnsi="Times New Roman;serif"/>
                  <w:b w:val="false"/>
                  <w:color w:val="0000FF"/>
                  <w:sz w:val="18"/>
                  <w:u w:val="single"/>
                </w:rPr>
                <w:t>Certification of Chief Executive Officer,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93025-ex312.htm">
              <w:r>
                <w:rPr>
                  <w:rStyle w:val="InternetLink"/>
                  <w:rFonts w:ascii="Times New Roman;serif" w:hAnsi="Times New Roman;serif"/>
                  <w:b w:val="false"/>
                  <w:color w:val="0000FF"/>
                  <w:sz w:val="18"/>
                  <w:u w:val="single"/>
                </w:rPr>
                <w:t>Certification of Chief Financial Officer,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93025-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93025-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XFiled Herewith</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*This exhibit shall not be deemed “filed” for purposes of Section 18 of the Exchange Act or otherwise subject to the liability of that Section. Such exhibit shall not be deemed incorporated into any filing under the Securities Act or the Exchange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17c1154a7f494eb98665b6e2e67bcad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in the City of Lehi, Utah, on October 29, 2025.</w:t>
      </w:r>
    </w:p>
    <w:tbl>
      <w:tblPr>
        <w:tblW w:w="421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313"/>
        <w:gridCol w:w="313"/>
        <w:gridCol w:w="313"/>
        <w:gridCol w:w="597"/>
        <w:gridCol w:w="597"/>
        <w:gridCol w:w="8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WAYSTAR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0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0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Oreskovich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Oreskovich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J. Hawkins,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Waystar Holding Corp.;</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07" w:type="dxa"/>
        <w:jc w:val="left"/>
        <w:tblInd w:w="0" w:type="dxa"/>
        <w:tblLayout w:type="fixed"/>
        <w:tblCellMar>
          <w:top w:w="28" w:type="dxa"/>
          <w:left w:w="28" w:type="dxa"/>
          <w:bottom w:w="28" w:type="dxa"/>
          <w:right w:w="28" w:type="dxa"/>
        </w:tblCellMar>
      </w:tblPr>
      <w:tblGrid>
        <w:gridCol w:w="553"/>
        <w:gridCol w:w="487"/>
        <w:gridCol w:w="489"/>
        <w:gridCol w:w="134"/>
        <w:gridCol w:w="134"/>
        <w:gridCol w:w="136"/>
        <w:gridCol w:w="722"/>
        <w:gridCol w:w="722"/>
        <w:gridCol w:w="1030"/>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Hawkins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Hawkins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Steven M. Oreskovich,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Waystar Holding Corp.;</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48" w:type="dxa"/>
        <w:jc w:val="left"/>
        <w:tblInd w:w="0" w:type="dxa"/>
        <w:tblLayout w:type="fixed"/>
        <w:tblCellMar>
          <w:top w:w="28" w:type="dxa"/>
          <w:left w:w="28" w:type="dxa"/>
          <w:bottom w:w="28" w:type="dxa"/>
          <w:right w:w="28" w:type="dxa"/>
        </w:tblCellMar>
      </w:tblPr>
      <w:tblGrid>
        <w:gridCol w:w="553"/>
        <w:gridCol w:w="487"/>
        <w:gridCol w:w="489"/>
        <w:gridCol w:w="134"/>
        <w:gridCol w:w="134"/>
        <w:gridCol w:w="136"/>
        <w:gridCol w:w="706"/>
        <w:gridCol w:w="706"/>
        <w:gridCol w:w="100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Oreskovich</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Oreskovich</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Waystar Holding Corp. (the “Company”) for the quarterly period ended September 30, 2025, as filed with the Securities and Exchange Commission on the date hereof (the “Report”), I, Matthew J. Hawkins, Chief Executive Officer of the Company, do hereby certify, pursuant to 18 U.S.C. Section 1350, as adopted pursuant to Section 906 of the Sarbanes-Oxley Act of 2002,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372" w:type="dxa"/>
        <w:jc w:val="left"/>
        <w:tblInd w:w="0" w:type="dxa"/>
        <w:tblLayout w:type="fixed"/>
        <w:tblCellMar>
          <w:top w:w="28" w:type="dxa"/>
          <w:left w:w="28" w:type="dxa"/>
          <w:bottom w:w="28" w:type="dxa"/>
          <w:right w:w="28" w:type="dxa"/>
        </w:tblCellMar>
      </w:tblPr>
      <w:tblGrid>
        <w:gridCol w:w="553"/>
        <w:gridCol w:w="487"/>
        <w:gridCol w:w="489"/>
        <w:gridCol w:w="134"/>
        <w:gridCol w:w="134"/>
        <w:gridCol w:w="136"/>
        <w:gridCol w:w="1296"/>
        <w:gridCol w:w="1296"/>
        <w:gridCol w:w="1847"/>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Hawkins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Hawkins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Waystar Holding Corp. (the “Company”) for the quarterly period ended September 30, 2025, as filed with the Securities and Exchange Commission on the date hereof (the “Report”), I, Steven M. Oreskovich, Chief Financial Officer of the Company, do hereby certify, pursuant to 18 U.S.C. Section 1350, as adopted pursuant to Section 906 of the Sarbanes-Oxley Act of 2002,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252" w:type="dxa"/>
        <w:jc w:val="left"/>
        <w:tblInd w:w="0" w:type="dxa"/>
        <w:tblLayout w:type="fixed"/>
        <w:tblCellMar>
          <w:top w:w="28" w:type="dxa"/>
          <w:left w:w="28" w:type="dxa"/>
          <w:bottom w:w="28" w:type="dxa"/>
          <w:right w:w="28" w:type="dxa"/>
        </w:tblCellMar>
      </w:tblPr>
      <w:tblGrid>
        <w:gridCol w:w="553"/>
        <w:gridCol w:w="487"/>
        <w:gridCol w:w="489"/>
        <w:gridCol w:w="134"/>
        <w:gridCol w:w="134"/>
        <w:gridCol w:w="136"/>
        <w:gridCol w:w="1262"/>
        <w:gridCol w:w="1262"/>
        <w:gridCol w:w="1795"/>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Oreskovich</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Oreskovich</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lineRule="auto" w:line="288" w:before="380" w:after="24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0354/000110465925070034/tm2521498d1_ex2-1.htm" TargetMode="External"/><Relationship Id="rId3" Type="http://schemas.openxmlformats.org/officeDocument/2006/relationships/hyperlink" Target="https://www.sec.gov/Archives/edgar/data/1990354/000110465925056893/tm2517226d1_ex3-1.htm" TargetMode="External"/><Relationship Id="rId4" Type="http://schemas.openxmlformats.org/officeDocument/2006/relationships/hyperlink" Target="https://www.sec.gov/Archives/edgar/data/1990354/000110465924070058/tm2333808d17_ex4-2.htm" TargetMode="External"/><Relationship Id="rId5" Type="http://schemas.openxmlformats.org/officeDocument/2006/relationships/hyperlink" Target="https://www.sec.gov/Archives/edgar/data/1990354/000110465925070034/tm2521498d1_ex10-2.htm" TargetMode="External"/><Relationship Id="rId6" Type="http://schemas.openxmlformats.org/officeDocument/2006/relationships/hyperlink" Target="https://www.sec.gov/Archives/edgar/data/1990354/000110465925070034/tm2521498d1_ex10-2.htm" TargetMode="External"/><Relationship Id="rId7" Type="http://schemas.openxmlformats.org/officeDocument/2006/relationships/hyperlink" Target="https://www.sec.gov/Archives/edgar/data/1990354/000110465925070034/tm2521498d1_ex10-2.htm" TargetMode="External"/><Relationship Id="rId8" Type="http://schemas.openxmlformats.org/officeDocument/2006/relationships/hyperlink" Target="https://www.sec.gov/Archives/edgar/data/1990354/000110465925070034/tm2521498d1_ex10-2.htm" TargetMode="External"/><Relationship Id="rId9" Type="http://schemas.openxmlformats.org/officeDocument/2006/relationships/hyperlink" Target="https://www.sec.gov/Archives/edgar/data/1990354/000110465925070034/tm2521498d1_ex10-2.htm" TargetMode="External"/><Relationship Id="rId10" Type="http://schemas.openxmlformats.org/officeDocument/2006/relationships/hyperlink" Target="https://www.sec.gov/Archives/edgar/data/1990354/000110465925070034/tm2521498d1_ex10-2.htm" TargetMode="External"/><Relationship Id="rId11" Type="http://schemas.openxmlformats.org/officeDocument/2006/relationships/hyperlink" Target="https://www.sec.gov/Archives/edgar/data/1990354/000110465925070034/tm2521498d1_ex10-2.htm" TargetMode="External"/><Relationship Id="rId12" Type="http://schemas.openxmlformats.org/officeDocument/2006/relationships/hyperlink" Target="https://www.sec.gov/Archives/edgar/data/1990354/000110465925070034/tm2521498d1_ex10-2.htm" TargetMode="External"/><Relationship Id="rId13" Type="http://schemas.openxmlformats.org/officeDocument/2006/relationships/hyperlink" Target="https://www.sec.gov/Archives/edgar/data/1990354/000110465925070034/tm2521498d1_ex10-2.htm" TargetMode="External"/><Relationship Id="rId14" Type="http://schemas.openxmlformats.org/officeDocument/2006/relationships/hyperlink" Target="https://www.sec.gov/Archives/edgar/data/1990354/000110465925070034/tm2521498d1_ex10-2.htm" TargetMode="External"/><Relationship Id="rId15" Type="http://schemas.openxmlformats.org/officeDocument/2006/relationships/hyperlink" Target="https://www.sec.gov/Archives/edgar/data/1990354/000110465925070034/tm2521498d1_ex10-2.htm" TargetMode="External"/><Relationship Id="rId16" Type="http://schemas.openxmlformats.org/officeDocument/2006/relationships/hyperlink" Target="https://www.sec.gov/Archives/edgar/data/1990354/000110465925070034/tm2521498d1_ex10-2.htm" TargetMode="External"/><Relationship Id="rId17" Type="http://schemas.openxmlformats.org/officeDocument/2006/relationships/hyperlink" Target="https://www.sec.gov/Archives/edgar/data/1990354/000110465925070034/tm2521498d1_ex10-2.htm" TargetMode="External"/><Relationship Id="rId18" Type="http://schemas.openxmlformats.org/officeDocument/2006/relationships/hyperlink" Target="https://www.sec.gov/Archives/edgar/data/1990354/000110465925070034/tm2521498d1_ex10-2.htm" TargetMode="External"/><Relationship Id="rId19" Type="http://schemas.openxmlformats.org/officeDocument/2006/relationships/hyperlink" Target="https://www.sec.gov/Archives/edgar/data/1990354/000110465925070034/tm2521498d1_ex10-2.htm" TargetMode="External"/><Relationship Id="rId20" Type="http://schemas.openxmlformats.org/officeDocument/2006/relationships/hyperlink" Target="https://www.sec.gov/Archives/edgar/data/1990354/000110465925070034/tm2521498d1_ex10-2.htm" TargetMode="External"/><Relationship Id="rId21" Type="http://schemas.openxmlformats.org/officeDocument/2006/relationships/hyperlink" Target="https://www.sec.gov/Archives/edgar/data/1990354/000110465925070034/tm2521498d1_ex10-2.htm" TargetMode="External"/><Relationship Id="rId22" Type="http://schemas.openxmlformats.org/officeDocument/2006/relationships/hyperlink" Target="https://www.sec.gov/Archives/edgar/data/1990354/000110465925070034/tm2521498d1_ex10-1.htm" TargetMode="External"/><Relationship Id="rId23" Type="http://schemas.openxmlformats.org/officeDocument/2006/relationships/hyperlink" Target="https://www.sec.gov/Archives/edgar/data/1990354/000110465925070034/tm2521498d1_ex10-1.htm" TargetMode="External"/><Relationship Id="rId24" Type="http://schemas.openxmlformats.org/officeDocument/2006/relationships/hyperlink" Target="https://www.sec.gov/Archives/edgar/data/1990354/000110465925070034/tm2521498d1_ex10-1.htm" TargetMode="External"/><Relationship Id="rId25" Type="http://schemas.openxmlformats.org/officeDocument/2006/relationships/hyperlink" Target="https://www.sec.gov/Archives/edgar/data/1990354/000110465925070034/tm2521498d1_ex10-1.htm" TargetMode="External"/><Relationship Id="rId26" Type="http://schemas.openxmlformats.org/officeDocument/2006/relationships/hyperlink" Target="https://www.sec.gov/Archives/edgar/data/1990354/000110465925070034/tm2521498d1_ex10-1.htm" TargetMode="External"/><Relationship Id="rId27" Type="http://schemas.openxmlformats.org/officeDocument/2006/relationships/hyperlink" Target="https://www.sec.gov/Archives/edgar/data/1990354/000110465925070034/tm2521498d1_ex10-3.htm" TargetMode="External"/><Relationship Id="rId28" Type="http://schemas.openxmlformats.org/officeDocument/2006/relationships/hyperlink" Target="https://www.sec.gov/Archives/edgar/data/1990354/000110465925070034/tm2521498d1_ex10-3.htm" TargetMode="External"/><Relationship Id="rId29" Type="http://schemas.openxmlformats.org/officeDocument/2006/relationships/hyperlink" Target="https://www.sec.gov/Archives/edgar/data/1990354/000110465925070034/tm2521498d1_ex10-3.htm" TargetMode="External"/><Relationship Id="rId30" Type="http://schemas.openxmlformats.org/officeDocument/2006/relationships/hyperlink" Target="https://www.sec.gov/Archives/edgar/data/1990354/000110465925070034/tm2521498d1_ex10-3.htm" TargetMode="External"/><Relationship Id="rId31" Type="http://schemas.openxmlformats.org/officeDocument/2006/relationships/hyperlink" Target="https://www.sec.gov/Archives/edgar/data/1990354/000110465925070034/tm2521498d1_ex10-3.htm" TargetMode="External"/><Relationship Id="rId32" Type="http://schemas.openxmlformats.org/officeDocument/2006/relationships/hyperlink" Target="https://www.sec.gov/Archives/edgar/data/1990354/000199035425000015/waystar-eleventhamendmentx.htm" TargetMode="External"/><Relationship Id="rId33" Type="http://schemas.openxmlformats.org/officeDocument/2006/relationships/hyperlink" Target="https://www.sec.gov/Archives/edgar/data/1990354/000110465925095372/tm2527690d1_ex10-1.htm" TargetMode="External"/><Relationship Id="rId34" Type="http://schemas.openxmlformats.org/officeDocument/2006/relationships/hyperlink" Target="https://www.sec.gov/Archives/edgar/data/1990354/000110465925095372/tm2527690d1_ex10-1.htm" TargetMode="External"/><Relationship Id="rId35" Type="http://schemas.openxmlformats.org/officeDocument/2006/relationships/hyperlink" Target="https://www.sec.gov/Archives/edgar/data/1990354/000110465925095372/tm2527690d1_ex10-1.htm" TargetMode="External"/><Relationship Id="rId36" Type="http://schemas.openxmlformats.org/officeDocument/2006/relationships/hyperlink" Target="https://www.sec.gov/Archives/edgar/data/1990354/000110465925095372/tm2527690d1_ex10-1.htm" TargetMode="External"/><Relationship Id="rId37" Type="http://schemas.openxmlformats.org/officeDocument/2006/relationships/hyperlink" Target="https://www.sec.gov/Archives/edgar/data/1990354/000110465925095372/tm2527690d1_ex10-1.htm" TargetMode="External"/><Relationship Id="rId38" Type="http://schemas.openxmlformats.org/officeDocument/2006/relationships/hyperlink" Target="https://www.sec.gov/Archives/edgar/data/1990354/000110465925095372/tm2527690d1_ex10-1.htm" TargetMode="External"/><Relationship Id="rId39" Type="http://schemas.openxmlformats.org/officeDocument/2006/relationships/hyperlink" Target="https://www.sec.gov/Archives/edgar/data/1990354/000110465925095372/tm2527690d1_ex10-1.htm" TargetMode="External"/><Relationship Id="rId40" Type="http://schemas.openxmlformats.org/officeDocument/2006/relationships/hyperlink" Target="https://www.sec.gov/Archives/edgar/data/1990354/000110465925095372/tm2527690d1_ex10-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23350</Words>
  <Characters>130227</Characters>
  <CharactersWithSpaces>151679</CharactersWithSpaces>
  <Paragraphs>2945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