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10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Pursuant to Section 13 or 15(d) of</w: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the Securities Exchange Act of 1934</w: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July 29, 2026</w:t>
      </w:r>
    </w:p>
    <w:p>
      <w:pPr>
        <w:pStyle w:val="TextBody"/>
        <w:bidi w:val="0"/>
        <w:spacing w:lineRule="auto" w:line="288" w:before="0" w:after="100"/>
        <w:jc w:val="center"/>
        <w:rPr>
          <w:rFonts w:ascii="Times New Roman;serif" w:hAnsi="Times New Roman;serif"/>
          <w:b/>
          <w:color w:val="000000"/>
          <w:sz w:val="28"/>
        </w:rPr>
      </w:pPr>
      <w:r>
        <w:rPr>
          <w:rFonts w:ascii="Times New Roman;serif" w:hAnsi="Times New Roman;serif"/>
          <w:b/>
          <w:color w:val="000000"/>
          <w:sz w:val="28"/>
        </w:rPr>
        <w:t>Waystar Holding Corp.</w: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262" w:type="dxa"/>
        <w:jc w:val="left"/>
        <w:tblInd w:w="0" w:type="dxa"/>
        <w:tblLayout w:type="fixed"/>
        <w:tblCellMar>
          <w:top w:w="28" w:type="dxa"/>
          <w:left w:w="28" w:type="dxa"/>
          <w:bottom w:w="28" w:type="dxa"/>
          <w:right w:w="28" w:type="dxa"/>
        </w:tblCellMar>
      </w:tblPr>
      <w:tblGrid>
        <w:gridCol w:w="851"/>
        <w:gridCol w:w="748"/>
        <w:gridCol w:w="755"/>
        <w:gridCol w:w="408"/>
        <w:gridCol w:w="408"/>
        <w:gridCol w:w="413"/>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001-42125</w:t>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84-2886542</w:t>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(Commission</w:t>
              <w:br/>
              <w:t>File Number)</w:t>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1550 Digital Drive, #300</w: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Lehi, Utah 84043</w: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(Address of principal executive offices) (Zip Code)</w: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(844) 492-9782</w: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914" w:type="dxa"/>
        <w:jc w:val="left"/>
        <w:tblInd w:w="0" w:type="dxa"/>
        <w:tblLayout w:type="fixed"/>
        <w:tblCellMar>
          <w:top w:w="28" w:type="dxa"/>
          <w:left w:w="28" w:type="dxa"/>
          <w:bottom w:w="28" w:type="dxa"/>
          <w:right w:w="28" w:type="dxa"/>
        </w:tblCellMar>
      </w:tblPr>
      <w:tblGrid>
        <w:gridCol w:w="1322"/>
        <w:gridCol w:w="1165"/>
        <w:gridCol w:w="1172"/>
        <w:gridCol w:w="109"/>
        <w:gridCol w:w="109"/>
        <w:gridCol w:w="109"/>
        <w:gridCol w:w="270"/>
        <w:gridCol w:w="270"/>
        <w:gridCol w:w="271"/>
        <w:gridCol w:w="109"/>
        <w:gridCol w:w="109"/>
        <w:gridCol w:w="109"/>
        <w:gridCol w:w="815"/>
        <w:gridCol w:w="815"/>
        <w:gridCol w:w="1160"/>
      </w:tblGrid>
      <w:tr>
        <w:trPr/>
        <w:tc>
          <w:tcPr>
            <w:tcW w:w="1322"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w:t>
              <w:br/>
              <w:t>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w:t>
              <w:br/>
              <w:t>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w:t>
              <w:br/>
              <w:t> on which registered</w:t>
            </w:r>
          </w:p>
        </w:tc>
      </w:tr>
      <w:tr>
        <w:trPr/>
        <w:tc>
          <w:tcPr>
            <w:tcW w:w="36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00"/>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0" w:after="10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July 29, 2026, Waystar Holding Corp. (the “Company”) issued a press release announcing earnings and other financial results for the fiscal quarter ended June 30, 2026. A copy of the press release is attached hereto as Exhibit 99.1 and incorporated herein by reference.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in this Item 2.02, including the corresponding Exhibit 99.1, is being furnished and shall not be deemed "filed" for purposes of Section 18 of the Securities Exchange Act of 1934, as amended (the "Exchange Act"), or otherwise subject to the liabilities under that section and shall not be deemed to be incorporated by reference into any filings under Securities Act of 1933, as amended, or the Exchange Act, except as shall be expressly set forth by specific reference in such filing.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240"/>
        <w:ind w:left="0" w:right="0" w:hanging="270"/>
        <w:jc w:val="left"/>
        <w:rPr>
          <w:rFonts w:ascii="Times New Roman;serif" w:hAnsi="Times New Roman;serif"/>
          <w:b/>
          <w:color w:val="000000"/>
          <w:sz w:val="20"/>
        </w:rPr>
      </w:pPr>
      <w:r>
        <w:rPr>
          <w:rFonts w:ascii="Times New Roman;serif" w:hAnsi="Times New Roman;serif"/>
          <w:b/>
          <w:color w:val="000000"/>
          <w:sz w:val="20"/>
        </w:rPr>
        <w:t>(d)Exhibits.</w:t>
      </w:r>
    </w:p>
    <w:tbl>
      <w:tblPr>
        <w:tblW w:w="7706"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840"/>
        <w:gridCol w:w="1840"/>
        <w:gridCol w:w="2619"/>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way072926-8xkex991.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way072926-8xkex991.htm">
              <w:r>
                <w:rPr>
                  <w:rStyle w:val="InternetLink"/>
                  <w:rFonts w:ascii="Times New Roman;serif" w:hAnsi="Times New Roman;serif"/>
                  <w:b w:val="false"/>
                  <w:color w:val="0000FF"/>
                  <w:sz w:val="20"/>
                  <w:u w:val="single"/>
                </w:rPr>
                <w:t>Waystar Holding Corp. Press Release, dated July 29,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by the undersigned hereunto duly authorized.</w:t>
      </w:r>
    </w:p>
    <w:tbl>
      <w:tblPr>
        <w:tblW w:w="4508" w:type="dxa"/>
        <w:jc w:val="left"/>
        <w:tblInd w:w="0" w:type="dxa"/>
        <w:tblLayout w:type="fixed"/>
        <w:tblCellMar>
          <w:top w:w="28" w:type="dxa"/>
          <w:left w:w="28" w:type="dxa"/>
          <w:bottom w:w="28" w:type="dxa"/>
          <w:right w:w="28" w:type="dxa"/>
        </w:tblCellMar>
      </w:tblPr>
      <w:tblGrid>
        <w:gridCol w:w="618"/>
        <w:gridCol w:w="544"/>
        <w:gridCol w:w="547"/>
        <w:gridCol w:w="313"/>
        <w:gridCol w:w="313"/>
        <w:gridCol w:w="313"/>
        <w:gridCol w:w="538"/>
        <w:gridCol w:w="538"/>
        <w:gridCol w:w="784"/>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29, 2026</w:t>
            </w:r>
          </w:p>
        </w:tc>
        <w:tc>
          <w:tcPr>
            <w:tcW w:w="279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Waystar Holding Corp.</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8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Gregory R. Packer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8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Gregory R. Packer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8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Legal Officer</w:t>
            </w:r>
          </w:p>
        </w:tc>
      </w:tr>
    </w:tbl>
    <w:p>
      <w:pPr>
        <w:pStyle w:val="TextBody"/>
        <w:bidi w:val="0"/>
        <w:spacing w:before="24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right"/>
        <w:rPr/>
      </w:pPr>
      <w:r>
        <w:rPr/>
      </w:r>
    </w:p>
    <w:p>
      <w:pPr>
        <w:pStyle w:val="TextBody"/>
        <w:bidi w:val="0"/>
        <w:spacing w:before="0" w:after="240"/>
        <w:jc w:val="center"/>
        <w:rPr/>
      </w:pPr>
      <w:r>
        <w:rPr/>
        <w:drawing>
          <wp:inline distT="0" distB="0" distL="0" distR="0">
            <wp:extent cx="2371725" cy="4667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371725" cy="466725"/>
                    </a:xfrm>
                    <a:prstGeom prst="rect">
                      <a:avLst/>
                    </a:prstGeom>
                  </pic:spPr>
                </pic:pic>
              </a:graphicData>
            </a:graphic>
          </wp:inline>
        </w:drawing>
      </w:r>
    </w:p>
    <w:p>
      <w:pPr>
        <w:pStyle w:val="TextBody"/>
        <w:bidi w:val="0"/>
        <w:spacing w:lineRule="auto" w:line="288" w:before="0" w:after="120"/>
        <w:jc w:val="center"/>
        <w:rPr>
          <w:rFonts w:ascii="Montserrat;sans-serif" w:hAnsi="Montserrat;sans-serif"/>
          <w:b/>
          <w:color w:val="4C5966"/>
          <w:sz w:val="24"/>
        </w:rPr>
      </w:pPr>
      <w:r>
        <w:rPr>
          <w:rFonts w:ascii="Montserrat;sans-serif" w:hAnsi="Montserrat;sans-serif"/>
          <w:b/>
          <w:color w:val="4C5966"/>
          <w:sz w:val="24"/>
        </w:rPr>
        <w:t xml:space="preserve">Waystar Reports Second Quarter 2026 Results </w:t>
      </w:r>
    </w:p>
    <w:tbl>
      <w:tblPr>
        <w:tblW w:w="7439" w:type="dxa"/>
        <w:jc w:val="center"/>
        <w:tblInd w:w="0" w:type="dxa"/>
        <w:tblLayout w:type="fixed"/>
        <w:tblCellMar>
          <w:top w:w="28" w:type="dxa"/>
          <w:left w:w="28" w:type="dxa"/>
          <w:bottom w:w="28" w:type="dxa"/>
          <w:right w:w="28" w:type="dxa"/>
        </w:tblCellMar>
      </w:tblPr>
      <w:tblGrid>
        <w:gridCol w:w="2383"/>
        <w:gridCol w:w="2094"/>
        <w:gridCol w:w="2962"/>
      </w:tblGrid>
      <w:tr>
        <w:trPr/>
        <w:tc>
          <w:tcPr>
            <w:tcW w:w="2383"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c>
          <w:tcPr>
            <w:tcW w:w="2962" w:type="dxa"/>
            <w:tcBorders/>
            <w:vAlign w:val="center"/>
          </w:tcPr>
          <w:p>
            <w:pPr>
              <w:pStyle w:val="TableContents"/>
              <w:bidi w:val="0"/>
              <w:spacing w:before="0" w:after="283"/>
              <w:jc w:val="left"/>
              <w:rPr>
                <w:sz w:val="4"/>
                <w:szCs w:val="4"/>
              </w:rPr>
            </w:pPr>
            <w:r>
              <w:rPr>
                <w:sz w:val="4"/>
                <w:szCs w:val="4"/>
              </w:rPr>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Montserrat;sans-serif" w:hAnsi="Montserrat;sans-serif"/>
                <w:b w:val="false"/>
                <w:i/>
                <w:color w:val="4C5966"/>
                <w:sz w:val="22"/>
              </w:rPr>
            </w:pPr>
            <w:r>
              <w:rPr>
                <w:rFonts w:ascii="Montserrat;sans-serif" w:hAnsi="Montserrat;sans-serif"/>
                <w:b w:val="false"/>
                <w:i/>
                <w:color w:val="4C5966"/>
                <w:sz w:val="22"/>
              </w:rPr>
              <w:t>Q2 revenue of $319.7M, up 18% YoY</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Montserrat;sans-serif" w:hAnsi="Montserrat;sans-serif"/>
                <w:b w:val="false"/>
                <w:i/>
                <w:color w:val="4C5966"/>
                <w:sz w:val="22"/>
              </w:rPr>
            </w:pPr>
            <w:r>
              <w:rPr>
                <w:rFonts w:ascii="Montserrat;sans-serif" w:hAnsi="Montserrat;sans-serif"/>
                <w:b w:val="false"/>
                <w:i/>
                <w:color w:val="4C5966"/>
                <w:sz w:val="22"/>
              </w:rPr>
              <w:t xml:space="preserve">Q2 net income of $40.9M and non-GAAP net income of $83.3M </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Montserrat;sans-serif" w:hAnsi="Montserrat;sans-serif"/>
                <w:b w:val="false"/>
                <w:i/>
                <w:color w:val="4C5966"/>
                <w:sz w:val="22"/>
              </w:rPr>
            </w:pPr>
            <w:r>
              <w:rPr>
                <w:rFonts w:ascii="Montserrat;sans-serif" w:hAnsi="Montserrat;sans-serif"/>
                <w:b w:val="false"/>
                <w:i/>
                <w:color w:val="4C5966"/>
                <w:sz w:val="22"/>
              </w:rPr>
              <w:t>Q2 net income margin of 13%; adjusted EBITDA margin of 43%</w:t>
            </w:r>
          </w:p>
        </w:tc>
      </w:tr>
      <w:tr>
        <w:trPr/>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i/>
                <w:color w:val="4C5966"/>
                <w:sz w:val="22"/>
              </w:rPr>
            </w:pPr>
            <w:r>
              <w:rPr>
                <w:rFonts w:ascii="Montserrat;sans-serif" w:hAnsi="Montserrat;sans-serif"/>
                <w:b w:val="false"/>
                <w:i/>
                <w:color w:val="4C5966"/>
                <w:sz w:val="22"/>
              </w:rPr>
              <w:t>Raising revenue and adjusted EBITDA guidance for 2026</w:t>
            </w:r>
          </w:p>
        </w:tc>
      </w:tr>
      <w:tr>
        <w:trPr/>
        <w:tc>
          <w:tcPr>
            <w:tcW w:w="7439" w:type="dxa"/>
            <w:gridSpan w:val="3"/>
            <w:tcBorders/>
            <w:vAlign w:val="center"/>
          </w:tcPr>
          <w:p>
            <w:pPr>
              <w:pStyle w:val="TableContents"/>
              <w:bidi w:val="0"/>
              <w:spacing w:before="0" w:after="283"/>
              <w:jc w:val="left"/>
              <w:rPr>
                <w:sz w:val="4"/>
                <w:szCs w:val="4"/>
              </w:rPr>
            </w:pPr>
            <w:r>
              <w:rPr>
                <w:sz w:val="4"/>
                <w:szCs w:val="4"/>
              </w:rPr>
            </w:r>
          </w:p>
        </w:tc>
      </w:tr>
      <w:tr>
        <w:trPr/>
        <w:tc>
          <w:tcPr>
            <w:tcW w:w="7439" w:type="dxa"/>
            <w:gridSpan w:val="3"/>
            <w:tcBorders/>
            <w:vAlign w:val="center"/>
          </w:tcPr>
          <w:p>
            <w:pPr>
              <w:pStyle w:val="TableContents"/>
              <w:bidi w:val="0"/>
              <w:spacing w:before="0" w:after="283"/>
              <w:jc w:val="left"/>
              <w:rPr>
                <w:sz w:val="4"/>
                <w:szCs w:val="4"/>
              </w:rPr>
            </w:pPr>
            <w:r>
              <w:rPr>
                <w:sz w:val="4"/>
                <w:szCs w:val="4"/>
              </w:rPr>
            </w:r>
          </w:p>
        </w:tc>
      </w:tr>
      <w:tr>
        <w:trPr/>
        <w:tc>
          <w:tcPr>
            <w:tcW w:w="74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Montserrat;sans-serif" w:hAnsi="Montserrat;sans-serif"/>
          <w:b w:val="false"/>
          <w:color w:val="4C5966"/>
          <w:sz w:val="22"/>
        </w:rPr>
      </w:pPr>
      <w:r>
        <w:rPr>
          <w:rFonts w:ascii="Montserrat;sans-serif" w:hAnsi="Montserrat;sans-serif"/>
          <w:b w:val="false"/>
          <w:color w:val="4C5966"/>
          <w:sz w:val="22"/>
        </w:rPr>
        <w:t>LEHI, Utah and LOUISVILLE, Ky., July 29, 2026 — Waystar Holding Corp. (Nasdaq: WAY), a provider of leading healthcare payment software, today reported results for the second quarter ended June 30, 2026.</w:t>
      </w:r>
    </w:p>
    <w:p>
      <w:pPr>
        <w:pStyle w:val="TextBody"/>
        <w:bidi w:val="0"/>
        <w:spacing w:lineRule="auto" w:line="288" w:before="0" w:after="240"/>
        <w:jc w:val="left"/>
        <w:rPr>
          <w:color w:val="4C5966"/>
        </w:rPr>
      </w:pPr>
      <w:r>
        <w:rPr>
          <w:color w:val="4C5966"/>
        </w:rPr>
        <w:t>“</w:t>
      </w:r>
      <w:r>
        <w:rPr>
          <w:rFonts w:ascii="Montserrat;sans-serif" w:hAnsi="Montserrat;sans-serif"/>
          <w:b w:val="false"/>
          <w:color w:val="4C5966"/>
          <w:sz w:val="22"/>
        </w:rPr>
        <w:t>Waystar delivered another solid quarter, driven by healthy demand, disciplined execution, and growing provider adoption,” said Matt Hawkins, Chief Executive Officer of Waystar. “Our unique position connecting providers, payers, and patients — combined with the breadth of our platform, the scale of our data, and the accelerating impact of our AltitudeAI capabilities — helps clients improve performance and reinforces our confidence in the long-term opportunity ahead.”</w:t>
      </w:r>
    </w:p>
    <w:p>
      <w:pPr>
        <w:pStyle w:val="TextBody"/>
        <w:bidi w:val="0"/>
        <w:spacing w:lineRule="auto" w:line="268" w:before="0" w:after="0"/>
        <w:jc w:val="left"/>
        <w:rPr>
          <w:rFonts w:ascii="Montserrat;sans-serif" w:hAnsi="Montserrat;sans-serif"/>
          <w:b/>
          <w:color w:val="4C5966"/>
          <w:sz w:val="22"/>
        </w:rPr>
      </w:pPr>
      <w:r>
        <w:rPr>
          <w:rFonts w:ascii="Montserrat;sans-serif" w:hAnsi="Montserrat;sans-serif"/>
          <w:b/>
          <w:color w:val="4C5966"/>
          <w:sz w:val="22"/>
        </w:rPr>
        <w:t>Second Quarter 2026 Financial Highlights</w:t>
      </w:r>
    </w:p>
    <w:p>
      <w:pPr>
        <w:pStyle w:val="TextBody"/>
        <w:bidi w:val="0"/>
        <w:spacing w:lineRule="auto" w:line="288" w:before="0" w:after="0"/>
        <w:ind w:left="0" w:right="0" w:hanging="360"/>
        <w:jc w:val="left"/>
        <w:rPr/>
      </w:pPr>
      <w:r>
        <w:rPr>
          <w:color w:val="4C5966"/>
        </w:rPr>
        <w:t>•</w:t>
      </w:r>
      <w:r>
        <w:rPr>
          <w:rFonts w:ascii="Montserrat;sans-serif" w:hAnsi="Montserrat;sans-serif"/>
          <w:b w:val="false"/>
          <w:color w:val="4C5966"/>
          <w:sz w:val="22"/>
        </w:rPr>
        <w:t>Revenue of $319.7 million, up 18% year-over-year</w:t>
      </w:r>
    </w:p>
    <w:p>
      <w:pPr>
        <w:pStyle w:val="TextBody"/>
        <w:bidi w:val="0"/>
        <w:spacing w:lineRule="auto" w:line="288" w:before="0" w:after="0"/>
        <w:ind w:left="0" w:right="0" w:hanging="360"/>
        <w:jc w:val="left"/>
        <w:rPr/>
      </w:pPr>
      <w:r>
        <w:rPr>
          <w:color w:val="4C5966"/>
        </w:rPr>
        <w:t>•</w:t>
      </w:r>
      <w:r>
        <w:rPr>
          <w:rFonts w:ascii="Montserrat;sans-serif" w:hAnsi="Montserrat;sans-serif"/>
          <w:b w:val="false"/>
          <w:color w:val="4C5966"/>
          <w:sz w:val="22"/>
        </w:rPr>
        <w:t>Net income of $40.9 million, GAAP net income per diluted share of $0.21, and net income margin of 13%</w:t>
      </w:r>
    </w:p>
    <w:p>
      <w:pPr>
        <w:pStyle w:val="TextBody"/>
        <w:bidi w:val="0"/>
        <w:spacing w:lineRule="auto" w:line="288" w:before="0" w:after="0"/>
        <w:ind w:left="0" w:right="0" w:hanging="360"/>
        <w:jc w:val="left"/>
        <w:rPr/>
      </w:pPr>
      <w:r>
        <w:rPr>
          <w:color w:val="4C5966"/>
        </w:rPr>
        <w:t>•</w:t>
      </w:r>
      <w:r>
        <w:rPr>
          <w:rFonts w:ascii="Montserrat;sans-serif" w:hAnsi="Montserrat;sans-serif"/>
          <w:b w:val="false"/>
          <w:color w:val="4C5966"/>
          <w:sz w:val="22"/>
        </w:rPr>
        <w:t>Non-GAAP net income of $83.3 million and non-GAAP net income per diluted share of $0.43</w:t>
      </w:r>
    </w:p>
    <w:p>
      <w:pPr>
        <w:pStyle w:val="TextBody"/>
        <w:bidi w:val="0"/>
        <w:spacing w:lineRule="auto" w:line="288" w:before="0" w:after="0"/>
        <w:ind w:left="0" w:right="0" w:hanging="360"/>
        <w:jc w:val="left"/>
        <w:rPr/>
      </w:pPr>
      <w:r>
        <w:rPr>
          <w:color w:val="4C5966"/>
        </w:rPr>
        <w:t>•</w:t>
      </w:r>
      <w:r>
        <w:rPr>
          <w:rFonts w:ascii="Montserrat;sans-serif" w:hAnsi="Montserrat;sans-serif"/>
          <w:b w:val="false"/>
          <w:color w:val="4C5966"/>
          <w:sz w:val="22"/>
        </w:rPr>
        <w:t>Adjusted EBITDA of $136.7 million and adjusted EBITDA margin of 43%</w:t>
      </w:r>
    </w:p>
    <w:p>
      <w:pPr>
        <w:pStyle w:val="TextBody"/>
        <w:bidi w:val="0"/>
        <w:spacing w:lineRule="auto" w:line="288" w:before="0" w:after="240"/>
        <w:ind w:left="0" w:right="0" w:hanging="360"/>
        <w:jc w:val="left"/>
        <w:rPr/>
      </w:pPr>
      <w:r>
        <w:rPr>
          <w:color w:val="4C5966"/>
        </w:rPr>
        <w:t>•</w:t>
      </w:r>
      <w:r>
        <w:rPr>
          <w:rFonts w:ascii="Montserrat;sans-serif" w:hAnsi="Montserrat;sans-serif"/>
          <w:b w:val="false"/>
          <w:color w:val="4C5966"/>
          <w:sz w:val="22"/>
        </w:rPr>
        <w:t>Cash flow from operations of $59.4 million and unlevered free cash flow of $63.9 million</w:t>
      </w:r>
    </w:p>
    <w:p>
      <w:pPr>
        <w:pStyle w:val="TextBody"/>
        <w:bidi w:val="0"/>
        <w:spacing w:before="0" w:after="24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vAlign w:val="center"/>
          </w:tcPr>
          <w:p>
            <w:pPr>
              <w:pStyle w:val="TableContents"/>
              <w:bidi w:val="0"/>
              <w:spacing w:before="0" w:after="283"/>
              <w:jc w:val="left"/>
              <w:rPr>
                <w:sz w:val="4"/>
                <w:szCs w:val="4"/>
              </w:rPr>
            </w:pPr>
            <w:r>
              <w:rPr>
                <w:sz w:val="4"/>
                <w:szCs w:val="4"/>
              </w:rPr>
            </w:r>
          </w:p>
        </w:tc>
      </w:tr>
      <w:tr>
        <w:trPr/>
        <w:tc>
          <w:tcPr>
            <w:tcW w:w="387" w:type="dxa"/>
            <w:gridSpan w:val="3"/>
            <w:tcBorders/>
            <w:vAlign w:val="center"/>
          </w:tcPr>
          <w:p>
            <w:pPr>
              <w:pStyle w:val="TableContents"/>
              <w:bidi w:val="0"/>
              <w:spacing w:before="0" w:after="283"/>
              <w:jc w:val="left"/>
              <w:rPr>
                <w:sz w:val="4"/>
                <w:szCs w:val="4"/>
              </w:rPr>
            </w:pPr>
            <w:r>
              <w:rPr>
                <w:sz w:val="4"/>
                <w:szCs w:val="4"/>
              </w:rPr>
            </w:r>
          </w:p>
        </w:tc>
      </w:tr>
      <w:tr>
        <w:trPr/>
        <w:tc>
          <w:tcPr>
            <w:tcW w:w="387" w:type="dxa"/>
            <w:gridSpan w:val="3"/>
            <w:tcBorders/>
            <w:vAlign w:val="center"/>
          </w:tcPr>
          <w:p>
            <w:pPr>
              <w:pStyle w:val="TableContents"/>
              <w:bidi w:val="0"/>
              <w:spacing w:before="0" w:after="283"/>
              <w:jc w:val="left"/>
              <w:rPr>
                <w:sz w:val="4"/>
                <w:szCs w:val="4"/>
              </w:rPr>
            </w:pPr>
            <w:r>
              <w:rPr>
                <w:sz w:val="4"/>
                <w:szCs w:val="4"/>
              </w:rPr>
            </w:r>
          </w:p>
        </w:tc>
      </w:tr>
      <w:tr>
        <w:trPr/>
        <w:tc>
          <w:tcPr>
            <w:tcW w:w="387" w:type="dxa"/>
            <w:gridSpan w:val="3"/>
            <w:tcBorders/>
            <w:vAlign w:val="center"/>
          </w:tcPr>
          <w:p>
            <w:pPr>
              <w:pStyle w:val="TableContents"/>
              <w:bidi w:val="0"/>
              <w:spacing w:before="0" w:after="283"/>
              <w:jc w:val="left"/>
              <w:rPr>
                <w:sz w:val="4"/>
                <w:szCs w:val="4"/>
              </w:rPr>
            </w:pPr>
            <w:r>
              <w:rPr>
                <w:sz w:val="4"/>
                <w:szCs w:val="4"/>
              </w:rPr>
            </w:r>
          </w:p>
        </w:tc>
      </w:tr>
      <w:tr>
        <w:trPr/>
        <w:tc>
          <w:tcPr>
            <w:tcW w:w="387" w:type="dxa"/>
            <w:gridSpan w:val="3"/>
            <w:tcBorders/>
            <w:vAlign w:val="center"/>
          </w:tcPr>
          <w:p>
            <w:pPr>
              <w:pStyle w:val="TableContents"/>
              <w:bidi w:val="0"/>
              <w:spacing w:before="0" w:after="283"/>
              <w:jc w:val="left"/>
              <w:rPr>
                <w:sz w:val="4"/>
                <w:szCs w:val="4"/>
              </w:rPr>
            </w:pPr>
            <w:r>
              <w:rPr>
                <w:sz w:val="4"/>
                <w:szCs w:val="4"/>
              </w:rPr>
            </w:r>
          </w:p>
        </w:tc>
      </w:tr>
      <w:tr>
        <w:trPr/>
        <w:tc>
          <w:tcPr>
            <w:tcW w:w="387" w:type="dxa"/>
            <w:gridSpan w:val="3"/>
            <w:tcBorders/>
            <w:vAlign w:val="center"/>
          </w:tcPr>
          <w:p>
            <w:pPr>
              <w:pStyle w:val="TableContents"/>
              <w:bidi w:val="0"/>
              <w:spacing w:before="0" w:after="283"/>
              <w:jc w:val="left"/>
              <w:rPr>
                <w:sz w:val="4"/>
                <w:szCs w:val="4"/>
              </w:rPr>
            </w:pPr>
            <w:r>
              <w:rPr>
                <w:sz w:val="4"/>
                <w:szCs w:val="4"/>
              </w:rPr>
            </w:r>
          </w:p>
        </w:tc>
      </w:tr>
    </w:tbl>
    <w:tbl>
      <w:tblPr>
        <w:tblW w:w="9974" w:type="dxa"/>
        <w:jc w:val="left"/>
        <w:tblInd w:w="0" w:type="dxa"/>
        <w:tblLayout w:type="fixed"/>
        <w:tblCellMar>
          <w:top w:w="28" w:type="dxa"/>
          <w:left w:w="28" w:type="dxa"/>
          <w:bottom w:w="28" w:type="dxa"/>
          <w:right w:w="28" w:type="dxa"/>
        </w:tblCellMar>
      </w:tblPr>
      <w:tblGrid>
        <w:gridCol w:w="3195"/>
        <w:gridCol w:w="2806"/>
        <w:gridCol w:w="3973"/>
      </w:tblGrid>
      <w:tr>
        <w:trPr/>
        <w:tc>
          <w:tcPr>
            <w:tcW w:w="3195"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c>
          <w:tcPr>
            <w:tcW w:w="3973" w:type="dxa"/>
            <w:tcBorders/>
            <w:vAlign w:val="center"/>
          </w:tcPr>
          <w:p>
            <w:pPr>
              <w:pStyle w:val="TableContents"/>
              <w:bidi w:val="0"/>
              <w:spacing w:before="0" w:after="283"/>
              <w:jc w:val="left"/>
              <w:rPr>
                <w:sz w:val="4"/>
                <w:szCs w:val="4"/>
              </w:rPr>
            </w:pPr>
            <w:r>
              <w:rPr>
                <w:sz w:val="4"/>
                <w:szCs w:val="4"/>
              </w:rPr>
            </w:r>
          </w:p>
        </w:tc>
      </w:tr>
      <w:tr>
        <w:trPr/>
        <w:tc>
          <w:tcPr>
            <w:tcW w:w="9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color w:val="4C5966"/>
                <w:sz w:val="22"/>
              </w:rPr>
            </w:pPr>
            <w:r>
              <w:rPr>
                <w:rFonts w:ascii="Montserrat;sans-serif" w:hAnsi="Montserrat;sans-serif"/>
                <w:b/>
                <w:color w:val="4C5966"/>
                <w:sz w:val="22"/>
              </w:rPr>
              <w:t>Key Performance Metrics and Revenue Disaggregation</w:t>
            </w:r>
          </w:p>
        </w:tc>
      </w:tr>
      <w:tr>
        <w:trPr/>
        <w:tc>
          <w:tcPr>
            <w:tcW w:w="9974"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4C5966"/>
              </w:rPr>
              <w:t>•</w:t>
            </w:r>
            <w:r>
              <w:rPr>
                <w:rFonts w:ascii="Montserrat;sans-serif" w:hAnsi="Montserrat;sans-serif"/>
                <w:b w:val="false"/>
                <w:color w:val="4C5966"/>
                <w:sz w:val="22"/>
              </w:rPr>
              <w:t>1,453 clients contributed over $100,000 in LTM revenue, up 15% year-over-year</w:t>
            </w:r>
          </w:p>
        </w:tc>
      </w:tr>
      <w:tr>
        <w:trPr/>
        <w:tc>
          <w:tcPr>
            <w:tcW w:w="9974"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4C5966"/>
              </w:rPr>
              <w:t>•</w:t>
            </w:r>
            <w:r>
              <w:rPr>
                <w:rFonts w:ascii="Montserrat;sans-serif" w:hAnsi="Montserrat;sans-serif"/>
                <w:b w:val="false"/>
                <w:color w:val="4C5966"/>
                <w:sz w:val="22"/>
              </w:rPr>
              <w:t>Net revenue retention rate (NRR) of 108%</w:t>
            </w:r>
          </w:p>
        </w:tc>
      </w:tr>
      <w:tr>
        <w:trPr/>
        <w:tc>
          <w:tcPr>
            <w:tcW w:w="9974"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4C5966"/>
              </w:rPr>
              <w:t>•</w:t>
            </w:r>
            <w:r>
              <w:rPr>
                <w:rFonts w:ascii="Montserrat;sans-serif" w:hAnsi="Montserrat;sans-serif"/>
                <w:b w:val="false"/>
                <w:color w:val="4C5966"/>
                <w:sz w:val="22"/>
              </w:rPr>
              <w:t>Second quarter 2026 subscription revenue of $176.3 million, up 34% year-over-year</w:t>
            </w:r>
          </w:p>
        </w:tc>
      </w:tr>
      <w:tr>
        <w:trPr/>
        <w:tc>
          <w:tcPr>
            <w:tcW w:w="9974"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4C5966"/>
              </w:rPr>
              <w:t>•</w:t>
            </w:r>
            <w:r>
              <w:rPr>
                <w:rFonts w:ascii="Montserrat;sans-serif" w:hAnsi="Montserrat;sans-serif"/>
                <w:b w:val="false"/>
                <w:color w:val="4C5966"/>
                <w:sz w:val="22"/>
              </w:rPr>
              <w:t>Second quarter 2026 volume-based revenue of $142.1 million, up 3% year-over-year</w:t>
            </w:r>
          </w:p>
        </w:tc>
      </w:tr>
      <w:tr>
        <w:trPr/>
        <w:tc>
          <w:tcPr>
            <w:tcW w:w="9974"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4C5966"/>
              </w:rPr>
              <w:t>•</w:t>
            </w:r>
            <w:r>
              <w:rPr>
                <w:rFonts w:ascii="Montserrat;sans-serif" w:hAnsi="Montserrat;sans-serif"/>
                <w:b w:val="false"/>
                <w:color w:val="4C5966"/>
                <w:sz w:val="22"/>
              </w:rPr>
              <w:t>Second quarter 2026 provider revenue of $231.8 million, up 23% year-over-year</w:t>
            </w:r>
          </w:p>
        </w:tc>
      </w:tr>
      <w:tr>
        <w:trPr/>
        <w:tc>
          <w:tcPr>
            <w:tcW w:w="9974"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4C5966"/>
              </w:rPr>
              <w:t>•</w:t>
            </w:r>
            <w:r>
              <w:rPr>
                <w:rFonts w:ascii="Montserrat;sans-serif" w:hAnsi="Montserrat;sans-serif"/>
                <w:b w:val="false"/>
                <w:color w:val="4C5966"/>
                <w:sz w:val="22"/>
              </w:rPr>
              <w:t>Second quarter 2026 patient revenue of $87.9 million, up 7% year-over-year</w:t>
            </w:r>
          </w:p>
        </w:tc>
      </w:tr>
      <w:tr>
        <w:trPr/>
        <w:tc>
          <w:tcPr>
            <w:tcW w:w="9974" w:type="dxa"/>
            <w:gridSpan w:val="3"/>
            <w:tcBorders/>
            <w:vAlign w:val="center"/>
          </w:tcPr>
          <w:p>
            <w:pPr>
              <w:pStyle w:val="TableContents"/>
              <w:bidi w:val="0"/>
              <w:spacing w:before="0" w:after="283"/>
              <w:jc w:val="left"/>
              <w:rPr>
                <w:sz w:val="4"/>
                <w:szCs w:val="4"/>
              </w:rPr>
            </w:pPr>
            <w:r>
              <w:rPr>
                <w:sz w:val="4"/>
                <w:szCs w:val="4"/>
              </w:rPr>
            </w:r>
          </w:p>
        </w:tc>
      </w:tr>
      <w:tr>
        <w:trPr/>
        <w:tc>
          <w:tcPr>
            <w:tcW w:w="997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Montserrat;sans-serif" w:hAnsi="Montserrat;sans-serif"/>
          <w:b/>
          <w:color w:val="4C5966"/>
          <w:sz w:val="22"/>
        </w:rPr>
      </w:pPr>
      <w:r>
        <w:rPr>
          <w:rFonts w:ascii="Montserrat;sans-serif" w:hAnsi="Montserrat;sans-serif"/>
          <w:b/>
          <w:color w:val="4C5966"/>
          <w:sz w:val="22"/>
        </w:rPr>
        <w:t>Financial Outlook</w:t>
      </w:r>
    </w:p>
    <w:p>
      <w:pPr>
        <w:pStyle w:val="TextBody"/>
        <w:bidi w:val="0"/>
        <w:spacing w:lineRule="auto" w:line="288" w:before="0" w:after="240"/>
        <w:jc w:val="left"/>
        <w:rPr/>
      </w:pPr>
      <w:r>
        <w:rPr>
          <w:rFonts w:ascii="Montserrat;sans-serif" w:hAnsi="Montserrat;sans-serif"/>
          <w:b w:val="false"/>
          <w:color w:val="4C5966"/>
          <w:sz w:val="22"/>
        </w:rPr>
        <w:t>As of July 29, 2026, Waystar provides the following guidance for its full fiscal year 2026.</w:t>
      </w:r>
      <w:r>
        <w:rPr>
          <w:rFonts w:ascii="Montserrat;sans-serif" w:hAnsi="Montserrat;sans-serif"/>
          <w:b w:val="false"/>
          <w:color w:val="4C5966"/>
          <w:sz w:val="14"/>
        </w:rPr>
        <w:t>1</w:t>
      </w:r>
    </w:p>
    <w:p>
      <w:pPr>
        <w:pStyle w:val="TextBody"/>
        <w:bidi w:val="0"/>
        <w:spacing w:lineRule="auto" w:line="288" w:before="0" w:after="120"/>
        <w:ind w:left="0" w:right="0" w:hanging="360"/>
        <w:jc w:val="left"/>
        <w:rPr/>
      </w:pPr>
      <w:r>
        <w:rPr>
          <w:color w:val="4C5966"/>
        </w:rPr>
        <w:t>•</w:t>
      </w:r>
      <w:r>
        <w:rPr>
          <w:rFonts w:ascii="Montserrat;sans-serif" w:hAnsi="Montserrat;sans-serif"/>
          <w:b w:val="false"/>
          <w:color w:val="4C5966"/>
          <w:sz w:val="22"/>
        </w:rPr>
        <w:t>Total revenue is expected to be between $1.276 billion and $1.294 billion</w:t>
      </w:r>
    </w:p>
    <w:p>
      <w:pPr>
        <w:pStyle w:val="TextBody"/>
        <w:bidi w:val="0"/>
        <w:spacing w:lineRule="auto" w:line="288" w:before="0" w:after="120"/>
        <w:ind w:left="0" w:right="0" w:hanging="360"/>
        <w:jc w:val="left"/>
        <w:rPr/>
      </w:pPr>
      <w:r>
        <w:rPr>
          <w:color w:val="4C5966"/>
        </w:rPr>
        <w:t>•</w:t>
      </w:r>
      <w:r>
        <w:rPr>
          <w:rFonts w:ascii="Montserrat;sans-serif" w:hAnsi="Montserrat;sans-serif"/>
          <w:b w:val="false"/>
          <w:color w:val="4C5966"/>
          <w:sz w:val="22"/>
        </w:rPr>
        <w:t>Adjusted EBITDA is expected to be between $535 million and $545 million</w:t>
      </w:r>
    </w:p>
    <w:p>
      <w:pPr>
        <w:pStyle w:val="TextBody"/>
        <w:bidi w:val="0"/>
        <w:spacing w:lineRule="auto" w:line="288" w:before="0" w:after="120"/>
        <w:ind w:left="0" w:right="0" w:hanging="360"/>
        <w:jc w:val="left"/>
        <w:rPr/>
      </w:pPr>
      <w:r>
        <w:rPr>
          <w:color w:val="4C5966"/>
        </w:rPr>
        <w:t>•</w:t>
      </w:r>
      <w:r>
        <w:rPr>
          <w:rFonts w:ascii="Montserrat;sans-serif" w:hAnsi="Montserrat;sans-serif"/>
          <w:b w:val="false"/>
          <w:color w:val="4C5966"/>
          <w:sz w:val="22"/>
        </w:rPr>
        <w:t>Non-GAAP net income is expected to be between $322 million and $340 million</w:t>
      </w:r>
    </w:p>
    <w:p>
      <w:pPr>
        <w:pStyle w:val="TextBody"/>
        <w:bidi w:val="0"/>
        <w:spacing w:lineRule="auto" w:line="288" w:before="0" w:after="240"/>
        <w:ind w:left="0" w:right="0" w:hanging="360"/>
        <w:jc w:val="left"/>
        <w:rPr/>
      </w:pPr>
      <w:r>
        <w:rPr>
          <w:color w:val="4C5966"/>
        </w:rPr>
        <w:t>•</w:t>
      </w:r>
      <w:r>
        <w:rPr>
          <w:rFonts w:ascii="Montserrat;sans-serif" w:hAnsi="Montserrat;sans-serif"/>
          <w:b w:val="false"/>
          <w:color w:val="4C5966"/>
          <w:sz w:val="22"/>
        </w:rPr>
        <w:t>Diluted non-GAAP net income per share is expected to be between $1.61 and $1.70</w:t>
      </w:r>
    </w:p>
    <w:p>
      <w:pPr>
        <w:pStyle w:val="TextBody"/>
        <w:bidi w:val="0"/>
        <w:spacing w:lineRule="auto" w:line="288" w:before="0" w:after="240"/>
        <w:jc w:val="left"/>
        <w:rPr>
          <w:rFonts w:ascii="Montserrat;sans-serif" w:hAnsi="Montserrat;sans-serif"/>
          <w:b/>
          <w:color w:val="4C5966"/>
          <w:sz w:val="22"/>
        </w:rPr>
      </w:pPr>
      <w:r>
        <w:rPr>
          <w:rFonts w:ascii="Montserrat;sans-serif" w:hAnsi="Montserrat;sans-serif"/>
          <w:b/>
          <w:color w:val="4C5966"/>
          <w:sz w:val="22"/>
        </w:rPr>
        <w:t>Webcast Information</w:t>
      </w:r>
    </w:p>
    <w:p>
      <w:pPr>
        <w:pStyle w:val="TextBody"/>
        <w:bidi w:val="0"/>
        <w:spacing w:lineRule="auto" w:line="288" w:before="0" w:after="240"/>
        <w:jc w:val="left"/>
        <w:rPr>
          <w:rFonts w:ascii="Montserrat;sans-serif" w:hAnsi="Montserrat;sans-serif"/>
          <w:b w:val="false"/>
          <w:color w:val="4C5966"/>
          <w:sz w:val="22"/>
        </w:rPr>
      </w:pPr>
      <w:r>
        <w:rPr>
          <w:rFonts w:ascii="Montserrat;sans-serif" w:hAnsi="Montserrat;sans-serif"/>
          <w:b w:val="false"/>
          <w:color w:val="4C5966"/>
          <w:sz w:val="22"/>
        </w:rPr>
        <w:t>Waystar's financial results will be discussed on a conference call scheduled at 4:30 p.m. Eastern Time today, July 29, 2026. A live audio conference call will be available on Waystar's website at https://investors.waystar.com/news-events/events. The webcast will be archived on the site for those unable to listen in real time. This earnings release and the related Current Report on Form 8-K furnished July 29, 2026, are available on the Investor Relations page of the company’s website. We routinely post important information on our website, including corporate and investor presentations and financial information. We intend to use our website as a means of disclosing material, non-public information and for complying with our disclosure obligations under Regulation FD. Such disclosures will be included in the Investor Relations section of our website. Accordingly, investors should monitor this portion of our website, in addition to following our press releases, U.S. Securities and Exchange Commission (“SEC”) filings, and public conference calls and webcasts.</w:t>
      </w:r>
    </w:p>
    <w:p>
      <w:pPr>
        <w:pStyle w:val="TextBody"/>
        <w:bidi w:val="0"/>
        <w:spacing w:lineRule="auto" w:line="288" w:before="0" w:after="240"/>
        <w:jc w:val="left"/>
        <w:rPr/>
      </w:pPr>
      <w:r>
        <w:rPr>
          <w:rFonts w:ascii="Montserrat;sans-serif" w:hAnsi="Montserrat;sans-serif"/>
          <w:b w:val="false"/>
          <w:color w:val="4C5966"/>
          <w:sz w:val="13"/>
        </w:rPr>
        <w:t>1</w:t>
      </w:r>
      <w:r>
        <w:rPr>
          <w:rFonts w:ascii="Montserrat;sans-serif" w:hAnsi="Montserrat;sans-serif"/>
          <w:b w:val="false"/>
          <w:color w:val="4C5966"/>
          <w:sz w:val="20"/>
        </w:rPr>
        <w:t>We have not reconciled the forward-looking adjusted EBITDA, non-GAAP net income, and non-GAAP net income per share guidance included above to the most directly comparable GAAP measure because this cannot be done without unreasonable effort due to the variability and low visibility with respect to certain costs, the most significant of which are incentive compensation (including stock-based compensation), transaction-related expenses, and certain fair value measurements, which are potential adjustments to future earnings. We expect the variability of these items to have a potentially unpredictable, and a potentially significant, impact on our future GAAP financial results.</w:t>
      </w:r>
    </w:p>
    <w:p>
      <w:pPr>
        <w:pStyle w:val="TextBody"/>
        <w:bidi w:val="0"/>
        <w:spacing w:before="0" w:after="24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76" w:before="0" w:after="240"/>
        <w:jc w:val="left"/>
        <w:rPr>
          <w:rFonts w:ascii="Montserrat;sans-serif" w:hAnsi="Montserrat;sans-serif"/>
          <w:b/>
          <w:color w:val="4C5966"/>
          <w:sz w:val="22"/>
        </w:rPr>
      </w:pPr>
      <w:r>
        <w:rPr>
          <w:rFonts w:ascii="Montserrat;sans-serif" w:hAnsi="Montserrat;sans-serif"/>
          <w:b/>
          <w:color w:val="4C5966"/>
          <w:sz w:val="22"/>
        </w:rPr>
        <w:t>Non-GAAP Financial Measures</w:t>
      </w:r>
    </w:p>
    <w:p>
      <w:pPr>
        <w:pStyle w:val="TextBody"/>
        <w:bidi w:val="0"/>
        <w:spacing w:lineRule="auto" w:line="288" w:before="0" w:after="240"/>
        <w:jc w:val="left"/>
        <w:rPr>
          <w:rFonts w:ascii="Montserrat;sans-serif" w:hAnsi="Montserrat;sans-serif"/>
          <w:b w:val="false"/>
          <w:color w:val="4C5966"/>
          <w:sz w:val="22"/>
        </w:rPr>
      </w:pPr>
      <w:r>
        <w:rPr>
          <w:rFonts w:ascii="Montserrat;sans-serif" w:hAnsi="Montserrat;sans-serif"/>
          <w:b w:val="false"/>
          <w:color w:val="4C5966"/>
          <w:sz w:val="22"/>
        </w:rPr>
        <w:t>To supplement the consolidated financial statements prepared and presented in accordance with U.S. generally accepted accounting principles (“GAAP”), this press release contains certain non-GAAP financial measures as defined below. We present non-GAAP financial measures as supplemental measures of financial performance that are not required by, or presented in accordance with, GAAP. We believe they assist investors and analysts in comparing our operating performance across reporting periods on a consistent basis by excluding items that we do not believe are indicative of our core operating performance. Management believes these non-GAAP financial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adjusted EBITDA and adjusted EBITDA margin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uses non-GAAP net income and non-GAAP net income per share to evaluate our core operating profitability on an after-tax basis exclusive of certain non-cash and non-recurring items, and to facilitate comparison with peer companies that may have different capital structures, acquisition histories, or tax profiles. Management uses unlevered free cash flow to evaluate cash generation from our core business operations independent of our capital structure. Management supplements GAAP results with non-GAAP financial measures to provide a more complete understanding of the factors and trends affecting the business than GAAP results alone provide.</w:t>
      </w:r>
    </w:p>
    <w:p>
      <w:pPr>
        <w:pStyle w:val="TextBody"/>
        <w:bidi w:val="0"/>
        <w:spacing w:lineRule="auto" w:line="268" w:before="0" w:after="0"/>
        <w:jc w:val="left"/>
        <w:rPr>
          <w:rFonts w:ascii="Montserrat;sans-serif" w:hAnsi="Montserrat;sans-serif"/>
          <w:b w:val="false"/>
          <w:color w:val="4C5966"/>
          <w:sz w:val="22"/>
        </w:rPr>
      </w:pPr>
      <w:r>
        <w:rPr>
          <w:rFonts w:ascii="Montserrat;sans-serif" w:hAnsi="Montserrat;sans-serif"/>
          <w:b w:val="false"/>
          <w:color w:val="4C5966"/>
          <w:sz w:val="22"/>
        </w:rPr>
        <w:t>Adjusted EBITDA, adjusted EBITDA margin, non-GAAP net income, non-GAAP net income per share and unlevered free cash flow are not recognized terms under GAAP and should not be considered as an alternative to net income (loss) or net income (loss) margin as measures of financial performance or cash provided by operating activities as a measure of liquidity,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A reconciliation is provided below for our non-GAAP financial measures to the most directly comparable financial measure stated in accordance with GAAP. A quantitative reconciliation of the forward-looking non-GAAP financial measures included in our financial outlook is not provided for the reasons described under "Financial Outlook." Investors are encouraged to review the related GAAP financial measures and the reconciliation of non-GAAP financial measures to their most directly comparable GAAP financial measures, and not to rely on any single financial measure to evaluate our business.</w:t>
      </w:r>
    </w:p>
    <w:p>
      <w:pPr>
        <w:pStyle w:val="TextBody"/>
        <w:bidi w:val="0"/>
        <w:spacing w:lineRule="auto" w:line="288" w:before="0" w:after="240"/>
        <w:jc w:val="left"/>
        <w:rPr>
          <w:rFonts w:ascii="Montserrat;sans-serif" w:hAnsi="Montserrat;sans-serif"/>
          <w:b w:val="false"/>
          <w:color w:val="4C5966"/>
          <w:sz w:val="22"/>
        </w:rPr>
      </w:pPr>
      <w:r>
        <w:rPr>
          <w:rFonts w:ascii="Montserrat;sans-serif" w:hAnsi="Montserrat;sans-serif"/>
          <w:b w:val="false"/>
          <w:color w:val="4C5966"/>
          <w:sz w:val="22"/>
        </w:rPr>
        <w:t>The following non-GAAP financial measures and key performance metrics are defined below:</w:t>
      </w:r>
    </w:p>
    <w:p>
      <w:pPr>
        <w:pStyle w:val="TextBody"/>
        <w:bidi w:val="0"/>
        <w:spacing w:lineRule="auto" w:line="288" w:before="0" w:after="240"/>
        <w:jc w:val="left"/>
        <w:rPr>
          <w:rFonts w:ascii="Montserrat;sans-serif" w:hAnsi="Montserrat;sans-serif"/>
          <w:b w:val="false"/>
          <w:i/>
          <w:color w:val="4C5966"/>
          <w:sz w:val="22"/>
        </w:rPr>
      </w:pPr>
      <w:r>
        <w:rPr>
          <w:rFonts w:ascii="Montserrat;sans-serif" w:hAnsi="Montserrat;sans-serif"/>
          <w:b w:val="false"/>
          <w:i/>
          <w:color w:val="4C5966"/>
          <w:sz w:val="22"/>
        </w:rPr>
        <w:t>Adjusted EBITDA and adjusted EBITDA Margin</w:t>
      </w:r>
    </w:p>
    <w:p>
      <w:pPr>
        <w:pStyle w:val="TextBody"/>
        <w:bidi w:val="0"/>
        <w:spacing w:lineRule="auto" w:line="288" w:before="0" w:after="240"/>
        <w:jc w:val="left"/>
        <w:rPr>
          <w:rFonts w:ascii="Montserrat;sans-serif" w:hAnsi="Montserrat;sans-serif"/>
          <w:b w:val="false"/>
          <w:color w:val="4C5966"/>
          <w:sz w:val="22"/>
        </w:rPr>
      </w:pPr>
      <w:r>
        <w:rPr>
          <w:rFonts w:ascii="Montserrat;sans-serif" w:hAnsi="Montserrat;sans-serif"/>
          <w:b w:val="false"/>
          <w:color w:val="4C5966"/>
          <w:sz w:val="22"/>
        </w:rPr>
        <w:t xml:space="preserve">We define adjusted EBITDA as net income / (loss) before interest expense, net, income tax expense / (benefit), depreciation and amortization, and as further adjusted for stock-based compensation expense, acquisition and integration costs, asset and lease </w:t>
      </w:r>
    </w:p>
    <w:p>
      <w:pPr>
        <w:pStyle w:val="TextBody"/>
        <w:bidi w:val="0"/>
        <w:spacing w:before="0" w:after="24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rFonts w:ascii="Montserrat;sans-serif" w:hAnsi="Montserrat;sans-serif"/>
          <w:b w:val="false"/>
          <w:color w:val="4C5966"/>
          <w:sz w:val="22"/>
        </w:rPr>
      </w:pPr>
      <w:r>
        <w:rPr>
          <w:rFonts w:ascii="Montserrat;sans-serif" w:hAnsi="Montserrat;sans-serif"/>
          <w:b w:val="false"/>
          <w:color w:val="4C5966"/>
          <w:sz w:val="22"/>
        </w:rPr>
        <w:t>impairments, costs related to amended debt agreements, IPO and secondary offering costs and costs related to other unusual, non-recurring or otherwise notable items. Adjusted EBITDA margin represents adjusted EBITDA as a percentage of revenue.</w:t>
      </w:r>
    </w:p>
    <w:p>
      <w:pPr>
        <w:pStyle w:val="TextBody"/>
        <w:bidi w:val="0"/>
        <w:spacing w:lineRule="auto" w:line="288" w:before="0" w:after="240"/>
        <w:jc w:val="left"/>
        <w:rPr>
          <w:rFonts w:ascii="Montserrat;sans-serif" w:hAnsi="Montserrat;sans-serif"/>
          <w:b w:val="false"/>
          <w:i/>
          <w:color w:val="4C5966"/>
          <w:sz w:val="22"/>
        </w:rPr>
      </w:pPr>
      <w:r>
        <w:rPr>
          <w:rFonts w:ascii="Montserrat;sans-serif" w:hAnsi="Montserrat;sans-serif"/>
          <w:b w:val="false"/>
          <w:i/>
          <w:color w:val="4C5966"/>
          <w:sz w:val="22"/>
        </w:rPr>
        <w:t>Non-GAAP Net Income and Non-GAAP Net Income Per Share</w:t>
      </w:r>
    </w:p>
    <w:p>
      <w:pPr>
        <w:pStyle w:val="TextBody"/>
        <w:bidi w:val="0"/>
        <w:spacing w:lineRule="auto" w:line="288" w:before="0" w:after="240"/>
        <w:jc w:val="left"/>
        <w:rPr>
          <w:rFonts w:ascii="Montserrat;sans-serif" w:hAnsi="Montserrat;sans-serif"/>
          <w:b w:val="false"/>
          <w:color w:val="4C5966"/>
          <w:sz w:val="22"/>
        </w:rPr>
      </w:pPr>
      <w:r>
        <w:rPr>
          <w:rFonts w:ascii="Montserrat;sans-serif" w:hAnsi="Montserrat;sans-serif"/>
          <w:b w:val="false"/>
          <w:color w:val="4C5966"/>
          <w:sz w:val="22"/>
        </w:rPr>
        <w:t>We define non-GAAP net income as GAAP net income excluding the impact of stock-based compensation, acquisition and integration costs, asset and lease impairments, costs related to our IPO, and the Secondary Offerings, costs related to amended debt agreements and amortization of intangibles, and costs related to other unusual, non-recurring or otherwise notable items. The tax effects of the adjustments are calculated using a management estimated annual effective non-GAAP tax rate of 21%, which is based on our statutory federal tax rate and provides consistency across interim reporting periods by eliminating the effects of non-recurring and period specific items. Due to the differences in the tax treatment of items excluded from non-GAAP net income, our estimate tax rate on non-GAAP net income may differ from our GAAP tax rate. Non-GAAP net income per share is shown on both a basic and diluted basis and is defined as non-GAAP net income divided by the basic or diluted weighted-average shares, respectively.</w:t>
      </w:r>
    </w:p>
    <w:p>
      <w:pPr>
        <w:pStyle w:val="TextBody"/>
        <w:bidi w:val="0"/>
        <w:spacing w:lineRule="auto" w:line="288" w:before="0" w:after="240"/>
        <w:jc w:val="left"/>
        <w:rPr>
          <w:rFonts w:ascii="Montserrat;sans-serif" w:hAnsi="Montserrat;sans-serif"/>
          <w:b w:val="false"/>
          <w:i/>
          <w:color w:val="4C5966"/>
          <w:sz w:val="22"/>
        </w:rPr>
      </w:pPr>
      <w:r>
        <w:rPr>
          <w:rFonts w:ascii="Montserrat;sans-serif" w:hAnsi="Montserrat;sans-serif"/>
          <w:b w:val="false"/>
          <w:i/>
          <w:color w:val="4C5966"/>
          <w:sz w:val="22"/>
        </w:rPr>
        <w:t>Unlevered Free Cash Flow</w:t>
      </w:r>
    </w:p>
    <w:p>
      <w:pPr>
        <w:pStyle w:val="TextBody"/>
        <w:bidi w:val="0"/>
        <w:spacing w:lineRule="auto" w:line="288" w:before="0" w:after="240"/>
        <w:jc w:val="left"/>
        <w:rPr>
          <w:rFonts w:ascii="Montserrat;sans-serif" w:hAnsi="Montserrat;sans-serif"/>
          <w:b w:val="false"/>
          <w:color w:val="4C5966"/>
          <w:sz w:val="22"/>
        </w:rPr>
      </w:pPr>
      <w:r>
        <w:rPr>
          <w:rFonts w:ascii="Montserrat;sans-serif" w:hAnsi="Montserrat;sans-serif"/>
          <w:b w:val="false"/>
          <w:color w:val="4C5966"/>
          <w:sz w:val="22"/>
        </w:rPr>
        <w:t>We define unlevered free cash flow as cash from operations plus cash interest paid less capital expenses.</w:t>
      </w:r>
    </w:p>
    <w:p>
      <w:pPr>
        <w:pStyle w:val="TextBody"/>
        <w:bidi w:val="0"/>
        <w:spacing w:lineRule="auto" w:line="288" w:before="0" w:after="240"/>
        <w:jc w:val="left"/>
        <w:rPr>
          <w:rFonts w:ascii="Montserrat;sans-serif" w:hAnsi="Montserrat;sans-serif"/>
          <w:b w:val="false"/>
          <w:i/>
          <w:color w:val="4C5966"/>
          <w:sz w:val="22"/>
        </w:rPr>
      </w:pPr>
      <w:r>
        <w:rPr>
          <w:rFonts w:ascii="Montserrat;sans-serif" w:hAnsi="Montserrat;sans-serif"/>
          <w:b w:val="false"/>
          <w:i/>
          <w:color w:val="4C5966"/>
          <w:sz w:val="22"/>
        </w:rPr>
        <w:t>Net Debt</w:t>
      </w:r>
    </w:p>
    <w:p>
      <w:pPr>
        <w:pStyle w:val="TextBody"/>
        <w:bidi w:val="0"/>
        <w:spacing w:lineRule="auto" w:line="288" w:before="0" w:after="240"/>
        <w:jc w:val="left"/>
        <w:rPr>
          <w:rFonts w:ascii="Montserrat;sans-serif" w:hAnsi="Montserrat;sans-serif"/>
          <w:b w:val="false"/>
          <w:color w:val="4C5966"/>
          <w:sz w:val="22"/>
        </w:rPr>
      </w:pPr>
      <w:r>
        <w:rPr>
          <w:rFonts w:ascii="Montserrat;sans-serif" w:hAnsi="Montserrat;sans-serif"/>
          <w:b w:val="false"/>
          <w:color w:val="4C5966"/>
          <w:sz w:val="22"/>
        </w:rPr>
        <w:t>We define net debt as the sum of the current portion of long-term debt, long-term debt, and accounts receivable securitization less cash and equivalents and investment securities.</w:t>
      </w:r>
    </w:p>
    <w:p>
      <w:pPr>
        <w:pStyle w:val="TextBody"/>
        <w:bidi w:val="0"/>
        <w:spacing w:lineRule="auto" w:line="288" w:before="0" w:after="240"/>
        <w:jc w:val="left"/>
        <w:rPr>
          <w:rFonts w:ascii="Montserrat;sans-serif" w:hAnsi="Montserrat;sans-serif"/>
          <w:b w:val="false"/>
          <w:i/>
          <w:color w:val="4C5966"/>
          <w:sz w:val="22"/>
        </w:rPr>
      </w:pPr>
      <w:r>
        <w:rPr>
          <w:rFonts w:ascii="Montserrat;sans-serif" w:hAnsi="Montserrat;sans-serif"/>
          <w:b w:val="false"/>
          <w:i/>
          <w:color w:val="4C5966"/>
          <w:sz w:val="22"/>
        </w:rPr>
        <w:t>Adjusted Net Leverage Ratio</w:t>
      </w:r>
    </w:p>
    <w:p>
      <w:pPr>
        <w:pStyle w:val="TextBody"/>
        <w:bidi w:val="0"/>
        <w:spacing w:lineRule="auto" w:line="288" w:before="0" w:after="240"/>
        <w:jc w:val="left"/>
        <w:rPr>
          <w:rFonts w:ascii="Montserrat;sans-serif" w:hAnsi="Montserrat;sans-serif"/>
          <w:b w:val="false"/>
          <w:color w:val="4C5966"/>
          <w:sz w:val="22"/>
        </w:rPr>
      </w:pPr>
      <w:r>
        <w:rPr>
          <w:rFonts w:ascii="Montserrat;sans-serif" w:hAnsi="Montserrat;sans-serif"/>
          <w:b w:val="false"/>
          <w:color w:val="4C5966"/>
          <w:sz w:val="22"/>
        </w:rPr>
        <w:t>We define adjusted net leverage ratio as net debt divided by adjusted EBITDA over the preceding twelve months.</w:t>
      </w:r>
    </w:p>
    <w:p>
      <w:pPr>
        <w:pStyle w:val="TextBody"/>
        <w:bidi w:val="0"/>
        <w:spacing w:lineRule="auto" w:line="288" w:before="0" w:after="240"/>
        <w:jc w:val="left"/>
        <w:rPr>
          <w:rFonts w:ascii="Montserrat;sans-serif" w:hAnsi="Montserrat;sans-serif"/>
          <w:b w:val="false"/>
          <w:i/>
          <w:color w:val="4C5966"/>
          <w:sz w:val="22"/>
        </w:rPr>
      </w:pPr>
      <w:r>
        <w:rPr>
          <w:rFonts w:ascii="Montserrat;sans-serif" w:hAnsi="Montserrat;sans-serif"/>
          <w:b w:val="false"/>
          <w:i/>
          <w:color w:val="4C5966"/>
          <w:sz w:val="22"/>
        </w:rPr>
        <w:t>Gross Debt</w:t>
      </w:r>
    </w:p>
    <w:p>
      <w:pPr>
        <w:pStyle w:val="TextBody"/>
        <w:bidi w:val="0"/>
        <w:spacing w:lineRule="auto" w:line="288" w:before="0" w:after="240"/>
        <w:jc w:val="left"/>
        <w:rPr>
          <w:rFonts w:ascii="Montserrat;sans-serif" w:hAnsi="Montserrat;sans-serif"/>
          <w:b w:val="false"/>
          <w:color w:val="4C5966"/>
          <w:sz w:val="22"/>
        </w:rPr>
      </w:pPr>
      <w:r>
        <w:rPr>
          <w:rFonts w:ascii="Montserrat;sans-serif" w:hAnsi="Montserrat;sans-serif"/>
          <w:b w:val="false"/>
          <w:color w:val="4C5966"/>
          <w:sz w:val="22"/>
        </w:rPr>
        <w:t>We define gross debt as the sum of the current portion of long-term debt, long-term debt, and accounts receivable securitization.</w:t>
      </w:r>
    </w:p>
    <w:p>
      <w:pPr>
        <w:pStyle w:val="TextBody"/>
        <w:bidi w:val="0"/>
        <w:spacing w:lineRule="auto" w:line="288" w:before="0" w:after="240"/>
        <w:jc w:val="left"/>
        <w:rPr>
          <w:rFonts w:ascii="Montserrat;sans-serif" w:hAnsi="Montserrat;sans-serif"/>
          <w:b w:val="false"/>
          <w:i/>
          <w:color w:val="4C5966"/>
          <w:sz w:val="22"/>
        </w:rPr>
      </w:pPr>
      <w:r>
        <w:rPr>
          <w:rFonts w:ascii="Montserrat;sans-serif" w:hAnsi="Montserrat;sans-serif"/>
          <w:b w:val="false"/>
          <w:i/>
          <w:color w:val="4C5966"/>
          <w:sz w:val="22"/>
        </w:rPr>
        <w:t>Adjusted Gross Leverage Ratio</w:t>
      </w:r>
    </w:p>
    <w:p>
      <w:pPr>
        <w:pStyle w:val="TextBody"/>
        <w:bidi w:val="0"/>
        <w:spacing w:lineRule="auto" w:line="288" w:before="0" w:after="240"/>
        <w:jc w:val="left"/>
        <w:rPr>
          <w:rFonts w:ascii="Montserrat;sans-serif" w:hAnsi="Montserrat;sans-serif"/>
          <w:b w:val="false"/>
          <w:color w:val="4C5966"/>
          <w:sz w:val="22"/>
        </w:rPr>
      </w:pPr>
      <w:r>
        <w:rPr>
          <w:rFonts w:ascii="Montserrat;sans-serif" w:hAnsi="Montserrat;sans-serif"/>
          <w:b w:val="false"/>
          <w:color w:val="4C5966"/>
          <w:sz w:val="22"/>
        </w:rPr>
        <w:t>We define adjusted gross leverage ratio as gross debt divided by adjusted EBITDA over the preceding twelve months.</w:t>
      </w:r>
    </w:p>
    <w:p>
      <w:pPr>
        <w:pStyle w:val="TextBody"/>
        <w:bidi w:val="0"/>
        <w:spacing w:lineRule="auto" w:line="288" w:before="0" w:after="240"/>
        <w:jc w:val="left"/>
        <w:rPr>
          <w:rFonts w:ascii="Montserrat;sans-serif" w:hAnsi="Montserrat;sans-serif"/>
          <w:b/>
          <w:color w:val="4C5966"/>
          <w:sz w:val="22"/>
        </w:rPr>
      </w:pPr>
      <w:r>
        <w:rPr>
          <w:rFonts w:ascii="Montserrat;sans-serif" w:hAnsi="Montserrat;sans-serif"/>
          <w:b/>
          <w:color w:val="4C5966"/>
          <w:sz w:val="22"/>
        </w:rPr>
        <w:t>Key Performance Metrics</w:t>
      </w:r>
    </w:p>
    <w:p>
      <w:pPr>
        <w:pStyle w:val="TextBody"/>
        <w:bidi w:val="0"/>
        <w:spacing w:lineRule="auto" w:line="288" w:before="0" w:after="240"/>
        <w:jc w:val="left"/>
        <w:rPr>
          <w:rFonts w:ascii="Montserrat;sans-serif" w:hAnsi="Montserrat;sans-serif"/>
          <w:b w:val="false"/>
          <w:i/>
          <w:color w:val="4C5966"/>
          <w:sz w:val="22"/>
        </w:rPr>
      </w:pPr>
      <w:r>
        <w:rPr>
          <w:rFonts w:ascii="Montserrat;sans-serif" w:hAnsi="Montserrat;sans-serif"/>
          <w:b w:val="false"/>
          <w:i/>
          <w:color w:val="4C5966"/>
          <w:sz w:val="22"/>
        </w:rPr>
        <w:t>Net Revenue Retention Rate</w:t>
      </w:r>
    </w:p>
    <w:p>
      <w:pPr>
        <w:pStyle w:val="TextBody"/>
        <w:bidi w:val="0"/>
        <w:spacing w:lineRule="auto" w:line="288" w:before="0" w:after="240"/>
        <w:jc w:val="left"/>
        <w:rPr>
          <w:rFonts w:ascii="Montserrat;sans-serif" w:hAnsi="Montserrat;sans-serif"/>
          <w:b w:val="false"/>
          <w:color w:val="4C5966"/>
          <w:sz w:val="22"/>
        </w:rPr>
      </w:pPr>
      <w:r>
        <w:rPr>
          <w:rFonts w:ascii="Montserrat;sans-serif" w:hAnsi="Montserrat;sans-serif"/>
          <w:b w:val="false"/>
          <w:color w:val="4C5966"/>
          <w:sz w:val="22"/>
        </w:rPr>
        <w:t xml:space="preserve">Our Net Revenue Retention Rate compares twelve months of client invoices for our solutions at two period end dates. To calculate our Net Revenue Retention Rate, we first accumulate the total amount invoiced during the twelve months ending with the prior period-end or Prior Period Invoices. We then calculate the total amount invoiced to those same clients for the twelve months ending with the current period-end, or Current Period </w:t>
      </w:r>
    </w:p>
    <w:p>
      <w:pPr>
        <w:pStyle w:val="TextBody"/>
        <w:bidi w:val="0"/>
        <w:spacing w:before="0" w:after="24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rFonts w:ascii="Montserrat;sans-serif" w:hAnsi="Montserrat;sans-serif"/>
          <w:b w:val="false"/>
          <w:color w:val="4C5966"/>
          <w:sz w:val="22"/>
        </w:rPr>
      </w:pPr>
      <w:r>
        <w:rPr>
          <w:rFonts w:ascii="Montserrat;sans-serif" w:hAnsi="Montserrat;sans-serif"/>
          <w:b w:val="false"/>
          <w:color w:val="4C5966"/>
          <w:sz w:val="22"/>
        </w:rPr>
        <w:t>Invoices. Current Period Invoices are inclusive of upsell, downsell, pricing changes, clients that cancel or chose not to renew, and discontinued solutions with continuing clients. The Net Revenue Retention Rate is then calculated by dividing the Current Period Invoices by the Prior Period Invoices. Our total invoices included in the analysis are greater than 98% of reported revenue. We use Net Revenue Retention Rate to evaluate our ongoing operations and for internal planning and forecasting purposes. Acquired businesses are included in the last-twelve-month Net Revenue Retention Rate in the ninth quarter after acquisition, which is the earliest point that comparable post-acquisition invoices are available for both the current and prior twelve-month period.</w:t>
      </w:r>
    </w:p>
    <w:p>
      <w:pPr>
        <w:pStyle w:val="TextBody"/>
        <w:bidi w:val="0"/>
        <w:spacing w:lineRule="auto" w:line="288" w:before="0" w:after="240"/>
        <w:jc w:val="left"/>
        <w:rPr>
          <w:rFonts w:ascii="Montserrat;sans-serif" w:hAnsi="Montserrat;sans-serif"/>
          <w:b w:val="false"/>
          <w:i/>
          <w:color w:val="4C5966"/>
          <w:sz w:val="22"/>
        </w:rPr>
      </w:pPr>
      <w:r>
        <w:rPr>
          <w:rFonts w:ascii="Montserrat;sans-serif" w:hAnsi="Montserrat;sans-serif"/>
          <w:b w:val="false"/>
          <w:i/>
          <w:color w:val="4C5966"/>
          <w:sz w:val="22"/>
        </w:rPr>
        <w:t>Customer Count with &gt;$100,000 of Revenue</w:t>
      </w:r>
    </w:p>
    <w:p>
      <w:pPr>
        <w:pStyle w:val="TextBody"/>
        <w:bidi w:val="0"/>
        <w:spacing w:lineRule="auto" w:line="288" w:before="0" w:after="240"/>
        <w:jc w:val="left"/>
        <w:rPr>
          <w:rFonts w:ascii="Montserrat;sans-serif" w:hAnsi="Montserrat;sans-serif"/>
          <w:b w:val="false"/>
          <w:color w:val="4C5966"/>
          <w:sz w:val="22"/>
        </w:rPr>
      </w:pPr>
      <w:r>
        <w:rPr>
          <w:rFonts w:ascii="Montserrat;sans-serif" w:hAnsi="Montserrat;sans-serif"/>
          <w:b w:val="false"/>
          <w:color w:val="4C5966"/>
          <w:sz w:val="22"/>
        </w:rPr>
        <w:t>We regularly monitor and review our count of clients who generate more than $100,000 of revenue.</w:t>
      </w:r>
    </w:p>
    <w:p>
      <w:pPr>
        <w:pStyle w:val="TextBody"/>
        <w:bidi w:val="0"/>
        <w:spacing w:lineRule="auto" w:line="288" w:before="0" w:after="240"/>
        <w:jc w:val="left"/>
        <w:rPr>
          <w:rFonts w:ascii="Montserrat;sans-serif" w:hAnsi="Montserrat;sans-serif"/>
          <w:b w:val="false"/>
          <w:color w:val="4C5966"/>
          <w:sz w:val="22"/>
        </w:rPr>
      </w:pPr>
      <w:r>
        <w:rPr>
          <w:rFonts w:ascii="Montserrat;sans-serif" w:hAnsi="Montserrat;sans-serif"/>
          <w:b w:val="false"/>
          <w:color w:val="4C5966"/>
          <w:sz w:val="22"/>
        </w:rPr>
        <w:t>Our count of clients who generate more than $100,000 of revenue is based on an accumulation of the amounts invoiced to clients over the preceding twelve months. The invoices for acquired clients are included starting in the first full calendar quarter after the date of acquisition.</w:t>
      </w:r>
    </w:p>
    <w:p>
      <w:pPr>
        <w:pStyle w:val="TextBody"/>
        <w:bidi w:val="0"/>
        <w:spacing w:lineRule="auto" w:line="288" w:before="0" w:after="240"/>
        <w:jc w:val="left"/>
        <w:rPr>
          <w:rFonts w:ascii="Montserrat;sans-serif" w:hAnsi="Montserrat;sans-serif"/>
          <w:b/>
          <w:color w:val="4C5966"/>
          <w:sz w:val="22"/>
        </w:rPr>
      </w:pPr>
      <w:r>
        <w:rPr>
          <w:rFonts w:ascii="Montserrat;sans-serif" w:hAnsi="Montserrat;sans-serif"/>
          <w:b/>
          <w:color w:val="4C5966"/>
          <w:sz w:val="22"/>
        </w:rPr>
        <w:t>Forward-Looking Statements</w:t>
      </w:r>
    </w:p>
    <w:p>
      <w:pPr>
        <w:pStyle w:val="TextBody"/>
        <w:bidi w:val="0"/>
        <w:spacing w:lineRule="auto" w:line="288" w:before="0" w:after="240"/>
        <w:jc w:val="left"/>
        <w:rPr>
          <w:rFonts w:ascii="Montserrat;sans-serif" w:hAnsi="Montserrat;sans-serif"/>
          <w:b w:val="false"/>
          <w:color w:val="4C5966"/>
          <w:sz w:val="22"/>
        </w:rPr>
      </w:pPr>
      <w:r>
        <w:rPr>
          <w:rFonts w:ascii="Montserrat;sans-serif" w:hAnsi="Montserrat;sans-serif"/>
          <w:b w:val="false"/>
          <w:color w:val="4C5966"/>
          <w:sz w:val="22"/>
        </w:rPr>
        <w:t>This press release contains forward-looking statements, within the meaning of the Private Securities Litigation Reform Act of 1995, that reflect our current views with respect to, among other things, statements regarding Waystar’s expectations relating to future operating results and financial position, including full year 2026, and future periods; the performance of our new product offerings; our industry and market opportunities, business strategy, goals, and expectations concerning our market position, future operations, margins and profitability, capital expenditures, liquidity, and capital resources and other financial and operating information. Forward-looking statements include all statements that are not historical facts. These statements may include words such as “anticipate,” “assume,” “believe,” “continue,” “could,” “estimate,” “expect,” “intend,” “may,” “plan,” “potential,” “predict,” “project,” “future,” “will,” “seek,” “foreseeable,” “outlook,” the negative version of these words or similar terms and phrases to identify forward-looking statements in this press release, including the discussion of outlook for full fiscal year 2026.</w:t>
      </w:r>
    </w:p>
    <w:p>
      <w:pPr>
        <w:pStyle w:val="TextBody"/>
        <w:bidi w:val="0"/>
        <w:spacing w:lineRule="auto" w:line="288" w:before="0" w:after="240"/>
        <w:jc w:val="left"/>
        <w:rPr>
          <w:rFonts w:ascii="Montserrat;sans-serif" w:hAnsi="Montserrat;sans-serif"/>
          <w:b w:val="false"/>
          <w:color w:val="4C5966"/>
          <w:sz w:val="22"/>
        </w:rPr>
      </w:pPr>
      <w:r>
        <w:rPr>
          <w:rFonts w:ascii="Montserrat;sans-serif" w:hAnsi="Montserrat;sans-serif"/>
          <w:b w:val="false"/>
          <w:color w:val="4C5966"/>
          <w:sz w:val="22"/>
        </w:rPr>
        <w:t xml:space="preserve">The forward-looking statements contained in this press release are based on management’s current expectations and are not guarantees of future performance. The forward-looking statements are subject to various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The following factors are among those that may cause actual results to differ materially from the forward-looking statements: our operation in a highly competitive industry; our ability to retain our existing clients and attract new clients; our ability to successfully execute on our business strategies in order to grow; our ability to accurately assess the risks related to acquisitions and successfully integrate acquired businesses, including the acquisition of Iodine; our ability to establish and maintain strategic relationships; the growth and success of our clients and overall healthcare transaction volumes; consolidation in the healthcare industry; our selling cycle of variable length to secure new client agreements; our implementation cycle that is dependent on our clients’ timing and resources; our dependence on our senior </w:t>
      </w:r>
    </w:p>
    <w:p>
      <w:pPr>
        <w:pStyle w:val="TextBody"/>
        <w:bidi w:val="0"/>
        <w:spacing w:before="0" w:after="24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rFonts w:ascii="Montserrat;sans-serif" w:hAnsi="Montserrat;sans-serif"/>
          <w:b w:val="false"/>
          <w:color w:val="4C5966"/>
          <w:sz w:val="22"/>
        </w:rPr>
      </w:pPr>
      <w:r>
        <w:rPr>
          <w:rFonts w:ascii="Montserrat;sans-serif" w:hAnsi="Montserrat;sans-serif"/>
          <w:b w:val="false"/>
          <w:color w:val="4C5966"/>
          <w:sz w:val="22"/>
        </w:rPr>
        <w:t>management team and certain key employees, and our ability to attract and retain highly skilled employees; the accuracy of the estimates and assumptions we use to determine the size of our total addressable market; our ability to develop and market new solutions, or enhance our existing solutions, to respond to technological changes or evolving industry standards; the interoperability, connectivity, and integration of our solutions with our clients’ and their vendors’ networks and infrastructures; the performance and reliability of internet, mobile, and other infrastructure; the consequences if we cannot obtain, process, use, disclose, or distribute the highly regulated data we require to provide our solutions; our reliance on certain third-party vendors and providers; any errors or malfunctions in our products and solutions; failure by our clients to obtain proper permissions or provide us with accurate and appropriate information; the potential for embezzlement, identity theft, or other similar illegal behavior by our employees or vendors, and a failure of our employees or vendors to observe quality standards or adhere to environmental, social, and governance standards; our compliance with the applicable rules of the National Automated Clearing House Association and the applicable requirements of card networks; increases in card network fees and other changes to fee arrangements; the effect of payer and provider conduct which we cannot control; privacy concerns and security breaches or incidents relating to our platform or data (including personal information and other regulated data); the complex and evolving laws and regulations regarding privacy, data protection, and cybersecurity; our ability to adequately protect and enforce our intellectual property rights; our ability to use or license data and integrate third-party technologies; the development, deployment, and use of AI; our use of “open source” software; legal proceedings initiated by third parties alleging that we are infringing or otherwise violating their intellectual property rights; claims that our employees, consultants, or independent contractors have wrongfully used or disclosed confidential information of third parties; the heavily regulated industry in which we conduct business; the uncertain and evolving healthcare regulatory and political framework; healthcare laws and data privacy and security laws and regulations governing our Processing of personal information (which may also be referred to as “personal data” or “personally identifiable information”); reduced revenues in response to changes to the healthcare regulatory landscape; legal, regulatory, and other proceedings that could result in adverse outcomes; contractual obligations requiring compliance with certain provisions of the Bank Secrecy Act/anti-money laundering laws and regulations; existing laws that regulate our ability to engage in certain marketing activities; our full compliance with website accessibility standards; any changes in our tax rates, the adoption of new tax legislation, or exposure to additional tax liabilities; limitations on our ability to use our net operating losses to offset future taxable income; losses due to asset impairment charges; our substantial debt and restrictive covenants in the agreements governing our Credit Facilities; interest rate fluctuations; unavailability of additional capital on acceptable terms or at all; the impact of general macroeconomic conditions; our history of net losses and our ability to achieve or maintain profitability; the interests of the certain investors may be different than the interests of other holders of our securities; and each of the other factors discussed under the heading of “Risk Factors” in the Company’s 10-K filed with the Securities and Exchange Commission (the “SEC”) on February 17, 2026, and in other reports filed with the SEC, all of which are available on the Investor Relations page of our website at investors.waystar.com.</w:t>
      </w:r>
    </w:p>
    <w:p>
      <w:pPr>
        <w:pStyle w:val="TextBody"/>
        <w:bidi w:val="0"/>
        <w:spacing w:lineRule="auto" w:line="288" w:before="0" w:after="240"/>
        <w:jc w:val="left"/>
        <w:rPr>
          <w:rFonts w:ascii="Montserrat;sans-serif" w:hAnsi="Montserrat;sans-serif"/>
          <w:b w:val="false"/>
          <w:color w:val="4C5966"/>
          <w:sz w:val="22"/>
        </w:rPr>
      </w:pPr>
      <w:r>
        <w:rPr>
          <w:rFonts w:ascii="Montserrat;sans-serif" w:hAnsi="Montserrat;sans-serif"/>
          <w:b w:val="false"/>
          <w:color w:val="4C5966"/>
          <w:sz w:val="22"/>
        </w:rPr>
        <w:t xml:space="preserve">Any forward-looking statements made by us in this press release speak only as of the date of this press release and are expressly qualified in their entirety by the cautionary statements included in this press release. Factors or events that could cause our actual results to differ may emerge from time to time, and it is not possible for us to predict all of them. You should not place undue reliance on our forward-looking statements. We undertake no obligation to publicly update or review any forward-looking statement, </w:t>
      </w:r>
    </w:p>
    <w:p>
      <w:pPr>
        <w:pStyle w:val="TextBody"/>
        <w:bidi w:val="0"/>
        <w:spacing w:before="0" w:after="24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rFonts w:ascii="Montserrat;sans-serif" w:hAnsi="Montserrat;sans-serif"/>
          <w:b w:val="false"/>
          <w:color w:val="4C5966"/>
          <w:sz w:val="22"/>
        </w:rPr>
      </w:pPr>
      <w:r>
        <w:rPr>
          <w:rFonts w:ascii="Montserrat;sans-serif" w:hAnsi="Montserrat;sans-serif"/>
          <w:b w:val="false"/>
          <w:color w:val="4C5966"/>
          <w:sz w:val="22"/>
        </w:rPr>
        <w:t>whether as a result of new information, future developments, or otherwise, except as may be required by any applicable securities laws.</w:t>
      </w:r>
    </w:p>
    <w:p>
      <w:pPr>
        <w:pStyle w:val="TextBody"/>
        <w:bidi w:val="0"/>
        <w:spacing w:lineRule="auto" w:line="288" w:before="0" w:after="240"/>
        <w:jc w:val="left"/>
        <w:rPr>
          <w:rFonts w:ascii="Montserrat;sans-serif" w:hAnsi="Montserrat;sans-serif"/>
          <w:b/>
          <w:color w:val="4C5966"/>
          <w:sz w:val="22"/>
        </w:rPr>
      </w:pPr>
      <w:r>
        <w:rPr>
          <w:rFonts w:ascii="Montserrat;sans-serif" w:hAnsi="Montserrat;sans-serif"/>
          <w:b/>
          <w:color w:val="4C5966"/>
          <w:sz w:val="22"/>
        </w:rPr>
        <w:t>About Waystar</w:t>
      </w:r>
    </w:p>
    <w:p>
      <w:pPr>
        <w:pStyle w:val="TextBody"/>
        <w:bidi w:val="0"/>
        <w:spacing w:lineRule="auto" w:line="288" w:before="0" w:after="240"/>
        <w:jc w:val="left"/>
        <w:rPr>
          <w:rFonts w:ascii="Montserrat;sans-serif" w:hAnsi="Montserrat;sans-serif"/>
          <w:b w:val="false"/>
          <w:color w:val="4C5966"/>
          <w:sz w:val="22"/>
        </w:rPr>
      </w:pPr>
      <w:r>
        <w:rPr>
          <w:rFonts w:ascii="Montserrat;sans-serif" w:hAnsi="Montserrat;sans-serif"/>
          <w:b w:val="false"/>
          <w:color w:val="4C5966"/>
          <w:sz w:val="22"/>
        </w:rPr>
        <w:t>Waystar’s mission-critical software is purpose-built to simplify healthcare payments so providers can prioritize patient care and optimize their financial performance. Waystar serves approximately 30,000 clients, representing over 1 million distinct providers, including 16 of 20 institutions on the U.S. News Best Hospitals list. Waystar’s enterprise-grade platform annually processes over 7.5 billion healthcare payment transactions, including over $2.4 trillion in annual gross claims and spanning approximately 60% of U.S. patients. Waystar strives to transform healthcare payments so providers can focus on what matters most: their patients and communities. Discover the way forward at waystar.com.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Montserrat;sans-serif" w:hAnsi="Montserrat;sans-serif"/>
          <w:b/>
          <w:color w:val="4C5966"/>
          <w:sz w:val="20"/>
        </w:rPr>
      </w:pPr>
      <w:r>
        <w:rPr>
          <w:rFonts w:ascii="Montserrat;sans-serif" w:hAnsi="Montserrat;sans-serif"/>
          <w:b/>
          <w:color w:val="4C5966"/>
          <w:sz w:val="20"/>
        </w:rPr>
        <w:t>Waystar Holding Corp.</w:t>
      </w:r>
    </w:p>
    <w:p>
      <w:pPr>
        <w:pStyle w:val="TextBody"/>
        <w:bidi w:val="0"/>
        <w:spacing w:lineRule="auto" w:line="288" w:before="0" w:after="0"/>
        <w:jc w:val="center"/>
        <w:rPr>
          <w:rFonts w:ascii="Montserrat;sans-serif" w:hAnsi="Montserrat;sans-serif"/>
          <w:b/>
          <w:color w:val="4C5966"/>
          <w:sz w:val="20"/>
        </w:rPr>
      </w:pPr>
      <w:r>
        <w:rPr>
          <w:rFonts w:ascii="Montserrat;sans-serif" w:hAnsi="Montserrat;sans-serif"/>
          <w:b/>
          <w:color w:val="4C5966"/>
          <w:sz w:val="20"/>
        </w:rPr>
        <w:t>Unaudited Consolidated Statements of Operations</w:t>
      </w:r>
    </w:p>
    <w:p>
      <w:pPr>
        <w:pStyle w:val="TextBody"/>
        <w:bidi w:val="0"/>
        <w:spacing w:lineRule="auto" w:line="288" w:before="0" w:after="0"/>
        <w:jc w:val="center"/>
        <w:rPr>
          <w:rFonts w:ascii="Montserrat;sans-serif" w:hAnsi="Montserrat;sans-serif"/>
          <w:b/>
          <w:color w:val="4C5966"/>
          <w:sz w:val="20"/>
        </w:rPr>
      </w:pPr>
      <w:r>
        <w:rPr>
          <w:rFonts w:ascii="Montserrat;sans-serif" w:hAnsi="Montserrat;sans-serif"/>
          <w:b/>
          <w:color w:val="4C5966"/>
          <w:sz w:val="20"/>
        </w:rPr>
        <w:t>(in thousands, except for share and per share data)</w:t>
      </w:r>
    </w:p>
    <w:tbl>
      <w:tblPr>
        <w:tblW w:w="10205" w:type="dxa"/>
        <w:jc w:val="left"/>
        <w:tblInd w:w="0" w:type="dxa"/>
        <w:tblLayout w:type="fixed"/>
        <w:tblCellMar>
          <w:top w:w="28" w:type="dxa"/>
          <w:left w:w="28" w:type="dxa"/>
          <w:bottom w:w="28" w:type="dxa"/>
          <w:right w:w="28" w:type="dxa"/>
        </w:tblCellMar>
      </w:tblPr>
      <w:tblGrid>
        <w:gridCol w:w="1698"/>
        <w:gridCol w:w="879"/>
        <w:gridCol w:w="885"/>
        <w:gridCol w:w="657"/>
        <w:gridCol w:w="373"/>
        <w:gridCol w:w="301"/>
        <w:gridCol w:w="177"/>
        <w:gridCol w:w="177"/>
        <w:gridCol w:w="177"/>
        <w:gridCol w:w="657"/>
        <w:gridCol w:w="373"/>
        <w:gridCol w:w="301"/>
        <w:gridCol w:w="109"/>
        <w:gridCol w:w="109"/>
        <w:gridCol w:w="109"/>
        <w:gridCol w:w="714"/>
        <w:gridCol w:w="456"/>
        <w:gridCol w:w="185"/>
        <w:gridCol w:w="165"/>
        <w:gridCol w:w="165"/>
        <w:gridCol w:w="165"/>
        <w:gridCol w:w="577"/>
        <w:gridCol w:w="369"/>
        <w:gridCol w:w="427"/>
      </w:tblGrid>
      <w:tr>
        <w:trPr/>
        <w:tc>
          <w:tcPr>
            <w:tcW w:w="169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3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4C5966"/>
                <w:sz w:val="20"/>
              </w:rPr>
            </w:pPr>
            <w:r>
              <w:rPr>
                <w:rFonts w:ascii="Montserrat;sans-serif" w:hAnsi="Montserrat;sans-serif"/>
                <w:b/>
                <w:color w:val="4C5966"/>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4C5966"/>
                <w:sz w:val="20"/>
              </w:rPr>
            </w:pPr>
            <w:r>
              <w:rPr>
                <w:rFonts w:ascii="Montserrat;sans-serif" w:hAnsi="Montserrat;sans-serif"/>
                <w:b/>
                <w:color w:val="4C5966"/>
                <w:sz w:val="20"/>
              </w:rPr>
              <w:t>Six months ended June 30,</w:t>
            </w:r>
          </w:p>
        </w:tc>
      </w:tr>
      <w:tr>
        <w:trPr/>
        <w:tc>
          <w:tcPr>
            <w:tcW w:w="3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4C5966"/>
                <w:sz w:val="20"/>
              </w:rPr>
            </w:pPr>
            <w:r>
              <w:rPr>
                <w:rFonts w:ascii="Montserrat;sans-serif" w:hAnsi="Montserrat;sans-serif"/>
                <w:b/>
                <w:color w:val="4C5966"/>
                <w:sz w:val="20"/>
              </w:rPr>
              <w:t>2026</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4C5966"/>
                <w:sz w:val="20"/>
              </w:rPr>
            </w:pPr>
            <w:r>
              <w:rPr>
                <w:rFonts w:ascii="Montserrat;sans-serif" w:hAnsi="Montserrat;sans-serif"/>
                <w:b/>
                <w:color w:val="4C5966"/>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4C5966"/>
                <w:sz w:val="20"/>
              </w:rPr>
            </w:pPr>
            <w:r>
              <w:rPr>
                <w:rFonts w:ascii="Montserrat;sans-serif" w:hAnsi="Montserrat;sans-serif"/>
                <w:b/>
                <w:color w:val="4C5966"/>
                <w:sz w:val="20"/>
              </w:rPr>
              <w:t>2026</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4C5966"/>
                <w:sz w:val="20"/>
              </w:rPr>
            </w:pPr>
            <w:r>
              <w:rPr>
                <w:rFonts w:ascii="Montserrat;sans-serif" w:hAnsi="Montserrat;sans-serif"/>
                <w:b/>
                <w:color w:val="4C5966"/>
                <w:sz w:val="20"/>
              </w:rPr>
              <w:t>2025</w:t>
            </w:r>
          </w:p>
        </w:tc>
      </w:tr>
      <w:tr>
        <w:trPr/>
        <w:tc>
          <w:tcPr>
            <w:tcW w:w="34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2"/>
              </w:rPr>
            </w:pPr>
            <w:r>
              <w:rPr>
                <w:rFonts w:ascii="Montserrat;sans-serif" w:hAnsi="Montserrat;sans-serif"/>
                <w:b w:val="false"/>
                <w:color w:val="4C5966"/>
                <w:sz w:val="22"/>
              </w:rPr>
              <w:t>Revenue</w:t>
            </w:r>
          </w:p>
        </w:tc>
        <w:tc>
          <w:tcPr>
            <w:tcW w:w="103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319,674 </w:t>
            </w:r>
          </w:p>
        </w:tc>
        <w:tc>
          <w:tcPr>
            <w:tcW w:w="30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270,654 </w:t>
            </w:r>
          </w:p>
        </w:tc>
        <w:tc>
          <w:tcPr>
            <w:tcW w:w="30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633,548 </w:t>
            </w:r>
          </w:p>
        </w:tc>
        <w:tc>
          <w:tcPr>
            <w:tcW w:w="18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527,089 </w:t>
            </w:r>
          </w:p>
        </w:tc>
        <w:tc>
          <w:tcPr>
            <w:tcW w:w="42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2"/>
              </w:rPr>
            </w:pPr>
            <w:r>
              <w:rPr>
                <w:rFonts w:ascii="Montserrat;sans-serif" w:hAnsi="Montserrat;sans-serif"/>
                <w:b w:val="false"/>
                <w:color w:val="4C5966"/>
                <w:sz w:val="22"/>
              </w:rPr>
              <w:t>Operating expenses</w:t>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0"/>
              </w:rPr>
            </w:pPr>
            <w:r>
              <w:rPr>
                <w:rFonts w:ascii="Montserrat;sans-serif" w:hAnsi="Montserrat;sans-serif"/>
                <w:b w:val="false"/>
                <w:color w:val="4C5966"/>
                <w:sz w:val="20"/>
              </w:rPr>
              <w:t>Cost of revenue (exclusive of depreciation and amortization expenses)</w:t>
            </w:r>
          </w:p>
        </w:tc>
        <w:tc>
          <w:tcPr>
            <w:tcW w:w="10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97,686 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87,044 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194,721 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170,389 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0"/>
              </w:rPr>
            </w:pPr>
            <w:r>
              <w:rPr>
                <w:rFonts w:ascii="Montserrat;sans-serif" w:hAnsi="Montserrat;sans-serif"/>
                <w:b w:val="false"/>
                <w:color w:val="4C5966"/>
                <w:sz w:val="20"/>
              </w:rPr>
              <w:t>Sales and marketing</w:t>
            </w:r>
          </w:p>
        </w:tc>
        <w:tc>
          <w:tcPr>
            <w:tcW w:w="10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50,379 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43,524 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96,209 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83,647 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0"/>
              </w:rPr>
            </w:pPr>
            <w:r>
              <w:rPr>
                <w:rFonts w:ascii="Montserrat;sans-serif" w:hAnsi="Montserrat;sans-serif"/>
                <w:b w:val="false"/>
                <w:color w:val="4C5966"/>
                <w:sz w:val="20"/>
              </w:rPr>
              <w:t>General and administrative</w:t>
            </w:r>
          </w:p>
        </w:tc>
        <w:tc>
          <w:tcPr>
            <w:tcW w:w="10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36,378 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29,192 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67,102 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52,492 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0"/>
              </w:rPr>
            </w:pPr>
            <w:r>
              <w:rPr>
                <w:rFonts w:ascii="Montserrat;sans-serif" w:hAnsi="Montserrat;sans-serif"/>
                <w:b w:val="false"/>
                <w:color w:val="4C5966"/>
                <w:sz w:val="20"/>
              </w:rPr>
              <w:t>Research and development</w:t>
            </w:r>
          </w:p>
        </w:tc>
        <w:tc>
          <w:tcPr>
            <w:tcW w:w="10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17,723 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12,622 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36,091 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23,700 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0"/>
              </w:rPr>
            </w:pPr>
            <w:r>
              <w:rPr>
                <w:rFonts w:ascii="Montserrat;sans-serif" w:hAnsi="Montserrat;sans-serif"/>
                <w:b w:val="false"/>
                <w:color w:val="4C5966"/>
                <w:sz w:val="20"/>
              </w:rPr>
              <w:t>Depreciation and amortization</w:t>
            </w:r>
          </w:p>
        </w:tc>
        <w:tc>
          <w:tcPr>
            <w:tcW w:w="10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41,466 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33,426 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82,918 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66,806 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0"/>
              </w:rPr>
            </w:pPr>
            <w:r>
              <w:rPr>
                <w:rFonts w:ascii="Montserrat;sans-serif" w:hAnsi="Montserrat;sans-serif"/>
                <w:b w:val="false"/>
                <w:color w:val="4C5966"/>
                <w:sz w:val="20"/>
              </w:rPr>
              <w:t>Total operating expenses</w:t>
            </w:r>
          </w:p>
        </w:tc>
        <w:tc>
          <w:tcPr>
            <w:tcW w:w="103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243,632 </w:t>
            </w:r>
          </w:p>
        </w:tc>
        <w:tc>
          <w:tcPr>
            <w:tcW w:w="30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205,808 </w:t>
            </w:r>
          </w:p>
        </w:tc>
        <w:tc>
          <w:tcPr>
            <w:tcW w:w="30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477,041 </w:t>
            </w:r>
          </w:p>
        </w:tc>
        <w:tc>
          <w:tcPr>
            <w:tcW w:w="18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397,034 </w:t>
            </w:r>
          </w:p>
        </w:tc>
        <w:tc>
          <w:tcPr>
            <w:tcW w:w="42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2"/>
              </w:rPr>
            </w:pPr>
            <w:r>
              <w:rPr>
                <w:rFonts w:ascii="Montserrat;sans-serif" w:hAnsi="Montserrat;sans-serif"/>
                <w:b w:val="false"/>
                <w:color w:val="4C5966"/>
                <w:sz w:val="22"/>
              </w:rPr>
              <w:t>Income from operations</w:t>
            </w:r>
          </w:p>
        </w:tc>
        <w:tc>
          <w:tcPr>
            <w:tcW w:w="103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76,042 </w:t>
            </w:r>
          </w:p>
        </w:tc>
        <w:tc>
          <w:tcPr>
            <w:tcW w:w="30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64,846 </w:t>
            </w:r>
          </w:p>
        </w:tc>
        <w:tc>
          <w:tcPr>
            <w:tcW w:w="30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156,507 </w:t>
            </w:r>
          </w:p>
        </w:tc>
        <w:tc>
          <w:tcPr>
            <w:tcW w:w="18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130,055 </w:t>
            </w:r>
          </w:p>
        </w:tc>
        <w:tc>
          <w:tcPr>
            <w:tcW w:w="42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2"/>
              </w:rPr>
            </w:pPr>
            <w:r>
              <w:rPr>
                <w:rFonts w:ascii="Montserrat;sans-serif" w:hAnsi="Montserrat;sans-serif"/>
                <w:b w:val="false"/>
                <w:color w:val="4C5966"/>
                <w:sz w:val="22"/>
              </w:rPr>
              <w:t>Other expense</w:t>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0"/>
              </w:rPr>
            </w:pPr>
            <w:r>
              <w:rPr>
                <w:rFonts w:ascii="Montserrat;sans-serif" w:hAnsi="Montserrat;sans-serif"/>
                <w:b w:val="false"/>
                <w:color w:val="4C5966"/>
                <w:sz w:val="20"/>
              </w:rPr>
              <w:t>Interest expense, net</w:t>
            </w:r>
          </w:p>
        </w:tc>
        <w:tc>
          <w:tcPr>
            <w:tcW w:w="10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(18,635)</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(17,325)</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(38,349)</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(35,582)</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0"/>
              </w:rPr>
            </w:pPr>
            <w:r>
              <w:rPr>
                <w:rFonts w:ascii="Montserrat;sans-serif" w:hAnsi="Montserrat;sans-serif"/>
                <w:b w:val="false"/>
                <w:color w:val="4C5966"/>
                <w:sz w:val="20"/>
              </w:rPr>
              <w:t>Related party interest expense</w:t>
            </w:r>
          </w:p>
        </w:tc>
        <w:tc>
          <w:tcPr>
            <w:tcW w:w="10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(1,011)</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(930)</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(1,944)</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(1,573)</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2"/>
              </w:rPr>
            </w:pPr>
            <w:r>
              <w:rPr>
                <w:rFonts w:ascii="Montserrat;sans-serif" w:hAnsi="Montserrat;sans-serif"/>
                <w:b w:val="false"/>
                <w:color w:val="4C5966"/>
                <w:sz w:val="22"/>
              </w:rPr>
              <w:t>Income before income taxes</w:t>
            </w:r>
          </w:p>
        </w:tc>
        <w:tc>
          <w:tcPr>
            <w:tcW w:w="103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56,396 </w:t>
            </w:r>
          </w:p>
        </w:tc>
        <w:tc>
          <w:tcPr>
            <w:tcW w:w="30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46,591 </w:t>
            </w:r>
          </w:p>
        </w:tc>
        <w:tc>
          <w:tcPr>
            <w:tcW w:w="30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116,214 </w:t>
            </w:r>
          </w:p>
        </w:tc>
        <w:tc>
          <w:tcPr>
            <w:tcW w:w="18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92,900 </w:t>
            </w:r>
          </w:p>
        </w:tc>
        <w:tc>
          <w:tcPr>
            <w:tcW w:w="42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0"/>
              </w:rPr>
            </w:pPr>
            <w:r>
              <w:rPr>
                <w:rFonts w:ascii="Montserrat;sans-serif" w:hAnsi="Montserrat;sans-serif"/>
                <w:b w:val="false"/>
                <w:color w:val="4C5966"/>
                <w:sz w:val="20"/>
              </w:rPr>
              <w:t>Income tax expense/(benefit)</w:t>
            </w:r>
          </w:p>
        </w:tc>
        <w:tc>
          <w:tcPr>
            <w:tcW w:w="10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15,529 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14,407 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32,064 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31,447 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2"/>
              </w:rPr>
            </w:pPr>
            <w:r>
              <w:rPr>
                <w:rFonts w:ascii="Montserrat;sans-serif" w:hAnsi="Montserrat;sans-serif"/>
                <w:b w:val="false"/>
                <w:color w:val="4C5966"/>
                <w:sz w:val="22"/>
              </w:rPr>
              <w:t>Net income</w:t>
            </w:r>
          </w:p>
        </w:tc>
        <w:tc>
          <w:tcPr>
            <w:tcW w:w="103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40,867 </w:t>
            </w:r>
          </w:p>
        </w:tc>
        <w:tc>
          <w:tcPr>
            <w:tcW w:w="30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32,184 </w:t>
            </w:r>
          </w:p>
        </w:tc>
        <w:tc>
          <w:tcPr>
            <w:tcW w:w="30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84,150 </w:t>
            </w:r>
          </w:p>
        </w:tc>
        <w:tc>
          <w:tcPr>
            <w:tcW w:w="18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61,453 </w:t>
            </w:r>
          </w:p>
        </w:tc>
        <w:tc>
          <w:tcPr>
            <w:tcW w:w="42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2"/>
              </w:rPr>
            </w:pPr>
            <w:r>
              <w:rPr>
                <w:rFonts w:ascii="Montserrat;sans-serif" w:hAnsi="Montserrat;sans-serif"/>
                <w:b w:val="false"/>
                <w:color w:val="4C5966"/>
                <w:sz w:val="22"/>
              </w:rPr>
              <w:t>Net income per share:</w:t>
            </w:r>
          </w:p>
        </w:tc>
        <w:tc>
          <w:tcPr>
            <w:tcW w:w="13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0"/>
              </w:rPr>
            </w:pPr>
            <w:r>
              <w:rPr>
                <w:rFonts w:ascii="Montserrat;sans-serif" w:hAnsi="Montserrat;sans-serif"/>
                <w:b w:val="false"/>
                <w:color w:val="4C5966"/>
                <w:sz w:val="20"/>
              </w:rPr>
              <w:t>Basic</w:t>
            </w:r>
          </w:p>
        </w:tc>
        <w:tc>
          <w:tcPr>
            <w:tcW w:w="10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0.21 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0.19 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0.44 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0.36 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0"/>
              </w:rPr>
            </w:pPr>
            <w:r>
              <w:rPr>
                <w:rFonts w:ascii="Montserrat;sans-serif" w:hAnsi="Montserrat;sans-serif"/>
                <w:b w:val="false"/>
                <w:color w:val="4C5966"/>
                <w:sz w:val="20"/>
              </w:rPr>
              <w:t>Diluted</w:t>
            </w:r>
          </w:p>
        </w:tc>
        <w:tc>
          <w:tcPr>
            <w:tcW w:w="10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0.21 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0.18 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0.43 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0.34 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2"/>
              </w:rPr>
            </w:pPr>
            <w:r>
              <w:rPr>
                <w:rFonts w:ascii="Montserrat;sans-serif" w:hAnsi="Montserrat;sans-serif"/>
                <w:b w:val="false"/>
                <w:color w:val="4C5966"/>
                <w:sz w:val="22"/>
              </w:rPr>
              <w:t>Weighted-average shares outstanding:</w:t>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0"/>
              </w:rPr>
            </w:pPr>
            <w:r>
              <w:rPr>
                <w:rFonts w:ascii="Montserrat;sans-serif" w:hAnsi="Montserrat;sans-serif"/>
                <w:b w:val="false"/>
                <w:color w:val="4C5966"/>
                <w:sz w:val="20"/>
              </w:rPr>
              <w:t>Basic</w:t>
            </w:r>
          </w:p>
        </w:tc>
        <w:tc>
          <w:tcPr>
            <w:tcW w:w="13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191,868,642</w:t>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173,358,382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191,719,015</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172,467,988</w:t>
            </w:r>
          </w:p>
        </w:tc>
      </w:tr>
      <w:tr>
        <w:trPr/>
        <w:tc>
          <w:tcPr>
            <w:tcW w:w="34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0"/>
              </w:rPr>
            </w:pPr>
            <w:r>
              <w:rPr>
                <w:rFonts w:ascii="Montserrat;sans-serif" w:hAnsi="Montserrat;sans-serif"/>
                <w:b w:val="false"/>
                <w:color w:val="4C5966"/>
                <w:sz w:val="20"/>
              </w:rPr>
              <w:t>Diluted</w:t>
            </w:r>
          </w:p>
        </w:tc>
        <w:tc>
          <w:tcPr>
            <w:tcW w:w="13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194,513,042</w:t>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181,599,133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194,902,172</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181,076,149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Montserrat;sans-serif" w:hAnsi="Montserrat;sans-serif"/>
          <w:b/>
          <w:color w:val="4C5966"/>
          <w:sz w:val="20"/>
        </w:rPr>
      </w:pPr>
      <w:r>
        <w:rPr>
          <w:rFonts w:ascii="Montserrat;sans-serif" w:hAnsi="Montserrat;sans-serif"/>
          <w:b/>
          <w:color w:val="4C5966"/>
          <w:sz w:val="20"/>
        </w:rPr>
        <w:t>Waystar Holding Corp.</w:t>
      </w:r>
    </w:p>
    <w:p>
      <w:pPr>
        <w:pStyle w:val="TextBody"/>
        <w:bidi w:val="0"/>
        <w:spacing w:lineRule="auto" w:line="288" w:before="0" w:after="0"/>
        <w:jc w:val="center"/>
        <w:rPr>
          <w:rFonts w:ascii="Montserrat;sans-serif" w:hAnsi="Montserrat;sans-serif"/>
          <w:b/>
          <w:color w:val="4C5966"/>
          <w:sz w:val="20"/>
        </w:rPr>
      </w:pPr>
      <w:r>
        <w:rPr>
          <w:rFonts w:ascii="Montserrat;sans-serif" w:hAnsi="Montserrat;sans-serif"/>
          <w:b/>
          <w:color w:val="4C5966"/>
          <w:sz w:val="20"/>
        </w:rPr>
        <w:t>Unaudited Consolidated Balance Sheets</w:t>
      </w:r>
    </w:p>
    <w:p>
      <w:pPr>
        <w:pStyle w:val="TextBody"/>
        <w:bidi w:val="0"/>
        <w:spacing w:lineRule="auto" w:line="288" w:before="0" w:after="240"/>
        <w:jc w:val="center"/>
        <w:rPr>
          <w:rFonts w:ascii="Montserrat;sans-serif" w:hAnsi="Montserrat;sans-serif"/>
          <w:b/>
          <w:color w:val="4C5966"/>
          <w:sz w:val="20"/>
        </w:rPr>
      </w:pPr>
      <w:r>
        <w:rPr>
          <w:rFonts w:ascii="Montserrat;sans-serif" w:hAnsi="Montserrat;sans-serif"/>
          <w:b/>
          <w:color w:val="4C5966"/>
          <w:sz w:val="20"/>
        </w:rPr>
        <w:t>(in thousands, except for share and per share data)</w:t>
      </w:r>
    </w:p>
    <w:tbl>
      <w:tblPr>
        <w:tblW w:w="10205" w:type="dxa"/>
        <w:jc w:val="left"/>
        <w:tblInd w:w="0" w:type="dxa"/>
        <w:tblLayout w:type="fixed"/>
        <w:tblCellMar>
          <w:top w:w="28" w:type="dxa"/>
          <w:left w:w="28" w:type="dxa"/>
          <w:bottom w:w="28" w:type="dxa"/>
          <w:right w:w="28" w:type="dxa"/>
        </w:tblCellMar>
      </w:tblPr>
      <w:tblGrid>
        <w:gridCol w:w="2833"/>
        <w:gridCol w:w="2305"/>
        <w:gridCol w:w="2250"/>
        <w:gridCol w:w="196"/>
        <w:gridCol w:w="871"/>
        <w:gridCol w:w="109"/>
        <w:gridCol w:w="109"/>
        <w:gridCol w:w="109"/>
        <w:gridCol w:w="109"/>
        <w:gridCol w:w="210"/>
        <w:gridCol w:w="936"/>
        <w:gridCol w:w="168"/>
      </w:tblGrid>
      <w:tr>
        <w:trPr/>
        <w:tc>
          <w:tcPr>
            <w:tcW w:w="2833"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4C5966"/>
                <w:sz w:val="14"/>
              </w:rPr>
            </w:pPr>
            <w:r>
              <w:rPr>
                <w:rFonts w:ascii="Montserrat;sans-serif" w:hAnsi="Montserrat;sans-serif"/>
                <w:b/>
                <w:color w:val="4C5966"/>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4C5966"/>
                <w:sz w:val="14"/>
              </w:rPr>
            </w:pPr>
            <w:r>
              <w:rPr>
                <w:rFonts w:ascii="Montserrat;sans-serif" w:hAnsi="Montserrat;sans-serif"/>
                <w:b/>
                <w:color w:val="4C5966"/>
                <w:sz w:val="14"/>
              </w:rPr>
              <w:t>December 31, 2025</w:t>
            </w:r>
          </w:p>
        </w:tc>
      </w:tr>
      <w:tr>
        <w:trPr/>
        <w:tc>
          <w:tcPr>
            <w:tcW w:w="7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4C5966"/>
                <w:sz w:val="14"/>
              </w:rPr>
            </w:pPr>
            <w:r>
              <w:rPr>
                <w:rFonts w:ascii="Montserrat;sans-serif" w:hAnsi="Montserrat;sans-serif"/>
                <w:b/>
                <w:color w:val="4C5966"/>
                <w:sz w:val="14"/>
              </w:rPr>
              <w:t>Assets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4"/>
              </w:rPr>
            </w:pPr>
            <w:r>
              <w:rPr>
                <w:rFonts w:ascii="Montserrat;sans-serif" w:hAnsi="Montserrat;sans-serif"/>
                <w:b w:val="false"/>
                <w:color w:val="4C5966"/>
                <w:sz w:val="14"/>
              </w:rPr>
              <w:t>Current assets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4"/>
              </w:rPr>
            </w:pPr>
            <w:r>
              <w:rPr>
                <w:rFonts w:ascii="Montserrat;sans-serif" w:hAnsi="Montserrat;sans-serif"/>
                <w:b w:val="false"/>
                <w:color w:val="4C5966"/>
                <w:sz w:val="14"/>
              </w:rPr>
              <w:t>Cash and cash equivalents</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4"/>
              </w:rPr>
            </w:pPr>
            <w:r>
              <w:rPr>
                <w:rFonts w:ascii="Montserrat;sans-serif" w:hAnsi="Montserrat;sans-serif"/>
                <w:b w:val="false"/>
                <w:color w:val="4C5966"/>
                <w:sz w:val="14"/>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12,645 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4"/>
              </w:rPr>
            </w:pPr>
            <w:r>
              <w:rPr>
                <w:rFonts w:ascii="Montserrat;sans-serif" w:hAnsi="Montserrat;sans-serif"/>
                <w:b w:val="false"/>
                <w:color w:val="4C5966"/>
                <w:sz w:val="14"/>
              </w:rPr>
              <w:t>$</w:t>
            </w:r>
          </w:p>
        </w:tc>
        <w:tc>
          <w:tcPr>
            <w:tcW w:w="936" w:type="dxa"/>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61,355 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4"/>
              </w:rPr>
            </w:pPr>
            <w:r>
              <w:rPr>
                <w:rFonts w:ascii="Montserrat;sans-serif" w:hAnsi="Montserrat;sans-serif"/>
                <w:b w:val="false"/>
                <w:color w:val="4C5966"/>
                <w:sz w:val="14"/>
              </w:rPr>
              <w:t>Restricted cash</w:t>
            </w:r>
          </w:p>
        </w:tc>
        <w:tc>
          <w:tcPr>
            <w:tcW w:w="10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32,767 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15,454 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4"/>
              </w:rPr>
            </w:pPr>
            <w:r>
              <w:rPr>
                <w:rFonts w:ascii="Montserrat;sans-serif" w:hAnsi="Montserrat;sans-serif"/>
                <w:b w:val="false"/>
                <w:color w:val="4C5966"/>
                <w:sz w:val="14"/>
              </w:rPr>
              <w:t>Investment securities</w:t>
            </w:r>
          </w:p>
        </w:tc>
        <w:tc>
          <w:tcPr>
            <w:tcW w:w="10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178,954 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24,877 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4C5966"/>
                <w:sz w:val="14"/>
              </w:rPr>
            </w:pPr>
            <w:r>
              <w:rPr>
                <w:rFonts w:ascii="Montserrat;sans-serif" w:hAnsi="Montserrat;sans-serif"/>
                <w:b w:val="false"/>
                <w:color w:val="4C5966"/>
                <w:sz w:val="14"/>
              </w:rPr>
              <w:t>Accounts receivable, net of allowance of $5,284 at June 30, 2026 and $6,170 at December 31, 2025</w:t>
            </w:r>
          </w:p>
        </w:tc>
        <w:tc>
          <w:tcPr>
            <w:tcW w:w="10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185,876 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177,037 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4"/>
              </w:rPr>
            </w:pPr>
            <w:r>
              <w:rPr>
                <w:rFonts w:ascii="Montserrat;sans-serif" w:hAnsi="Montserrat;sans-serif"/>
                <w:b w:val="false"/>
                <w:color w:val="4C5966"/>
                <w:sz w:val="14"/>
              </w:rPr>
              <w:t>Income tax receivable</w:t>
            </w:r>
          </w:p>
        </w:tc>
        <w:tc>
          <w:tcPr>
            <w:tcW w:w="106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4C5966"/>
              </w:rPr>
            </w:pPr>
            <w:r>
              <w:rPr>
                <w:color w:val="4C5966"/>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6,437 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4"/>
              </w:rPr>
            </w:pPr>
            <w:r>
              <w:rPr>
                <w:rFonts w:ascii="Montserrat;sans-serif" w:hAnsi="Montserrat;sans-serif"/>
                <w:b w:val="false"/>
                <w:color w:val="4C5966"/>
                <w:sz w:val="14"/>
              </w:rPr>
              <w:t>Prepaid expenses</w:t>
            </w:r>
          </w:p>
        </w:tc>
        <w:tc>
          <w:tcPr>
            <w:tcW w:w="10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24,866 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20,078 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4"/>
              </w:rPr>
            </w:pPr>
            <w:r>
              <w:rPr>
                <w:rFonts w:ascii="Montserrat;sans-serif" w:hAnsi="Montserrat;sans-serif"/>
                <w:b w:val="false"/>
                <w:color w:val="4C5966"/>
                <w:sz w:val="14"/>
              </w:rPr>
              <w:t>Other current assets</w:t>
            </w:r>
          </w:p>
        </w:tc>
        <w:tc>
          <w:tcPr>
            <w:tcW w:w="10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3,866 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3,174 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4"/>
              </w:rPr>
            </w:pPr>
            <w:r>
              <w:rPr>
                <w:rFonts w:ascii="Montserrat;sans-serif" w:hAnsi="Montserrat;sans-serif"/>
                <w:b w:val="false"/>
                <w:color w:val="4C5966"/>
                <w:sz w:val="14"/>
              </w:rPr>
              <w:t>Total current assets</w:t>
            </w:r>
          </w:p>
        </w:tc>
        <w:tc>
          <w:tcPr>
            <w:tcW w:w="10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438,974 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308,412 </w:t>
            </w:r>
          </w:p>
        </w:tc>
        <w:tc>
          <w:tcPr>
            <w:tcW w:w="16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4"/>
              </w:rPr>
            </w:pPr>
            <w:r>
              <w:rPr>
                <w:rFonts w:ascii="Montserrat;sans-serif" w:hAnsi="Montserrat;sans-serif"/>
                <w:b w:val="false"/>
                <w:color w:val="4C5966"/>
                <w:sz w:val="14"/>
              </w:rPr>
              <w:t>Property, plant and equipment, net</w:t>
            </w:r>
          </w:p>
        </w:tc>
        <w:tc>
          <w:tcPr>
            <w:tcW w:w="10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68,532 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51,649 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4"/>
              </w:rPr>
            </w:pPr>
            <w:r>
              <w:rPr>
                <w:rFonts w:ascii="Montserrat;sans-serif" w:hAnsi="Montserrat;sans-serif"/>
                <w:b w:val="false"/>
                <w:color w:val="4C5966"/>
                <w:sz w:val="14"/>
              </w:rPr>
              <w:t>Operating lease right-of-use assets, net</w:t>
            </w:r>
          </w:p>
        </w:tc>
        <w:tc>
          <w:tcPr>
            <w:tcW w:w="10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9,413 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12,972 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4"/>
              </w:rPr>
            </w:pPr>
            <w:r>
              <w:rPr>
                <w:rFonts w:ascii="Montserrat;sans-serif" w:hAnsi="Montserrat;sans-serif"/>
                <w:b w:val="false"/>
                <w:color w:val="4C5966"/>
                <w:sz w:val="14"/>
              </w:rPr>
              <w:t>Intangible assets, net</w:t>
            </w:r>
          </w:p>
        </w:tc>
        <w:tc>
          <w:tcPr>
            <w:tcW w:w="10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1,223,891 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1,292,839 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4"/>
              </w:rPr>
            </w:pPr>
            <w:r>
              <w:rPr>
                <w:rFonts w:ascii="Montserrat;sans-serif" w:hAnsi="Montserrat;sans-serif"/>
                <w:b w:val="false"/>
                <w:color w:val="4C5966"/>
                <w:sz w:val="14"/>
              </w:rPr>
              <w:t>Goodwill</w:t>
            </w:r>
          </w:p>
        </w:tc>
        <w:tc>
          <w:tcPr>
            <w:tcW w:w="10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4,014,781 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4,016,818 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4"/>
              </w:rPr>
            </w:pPr>
            <w:r>
              <w:rPr>
                <w:rFonts w:ascii="Montserrat;sans-serif" w:hAnsi="Montserrat;sans-serif"/>
                <w:b w:val="false"/>
                <w:color w:val="4C5966"/>
                <w:sz w:val="14"/>
              </w:rPr>
              <w:t>Deferred costs</w:t>
            </w:r>
          </w:p>
        </w:tc>
        <w:tc>
          <w:tcPr>
            <w:tcW w:w="10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105,063 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93,951 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4"/>
              </w:rPr>
            </w:pPr>
            <w:r>
              <w:rPr>
                <w:rFonts w:ascii="Montserrat;sans-serif" w:hAnsi="Montserrat;sans-serif"/>
                <w:b w:val="false"/>
                <w:color w:val="4C5966"/>
                <w:sz w:val="14"/>
              </w:rPr>
              <w:t>Other long-term assets</w:t>
            </w:r>
          </w:p>
        </w:tc>
        <w:tc>
          <w:tcPr>
            <w:tcW w:w="10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8,107 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8,459 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4"/>
              </w:rPr>
            </w:pPr>
            <w:r>
              <w:rPr>
                <w:rFonts w:ascii="Montserrat;sans-serif" w:hAnsi="Montserrat;sans-serif"/>
                <w:b w:val="false"/>
                <w:color w:val="4C5966"/>
                <w:sz w:val="14"/>
              </w:rPr>
              <w:t>Total assets</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4"/>
              </w:rPr>
            </w:pPr>
            <w:r>
              <w:rPr>
                <w:rFonts w:ascii="Montserrat;sans-serif" w:hAnsi="Montserrat;sans-serif"/>
                <w:b w:val="false"/>
                <w:color w:val="4C5966"/>
                <w:sz w:val="14"/>
              </w:rPr>
              <w:t>$</w:t>
            </w:r>
          </w:p>
        </w:tc>
        <w:tc>
          <w:tcPr>
            <w:tcW w:w="871"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5,868,761 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4"/>
              </w:rPr>
            </w:pPr>
            <w:r>
              <w:rPr>
                <w:rFonts w:ascii="Montserrat;sans-serif" w:hAnsi="Montserrat;sans-serif"/>
                <w:b w:val="false"/>
                <w:color w:val="4C5966"/>
                <w:sz w:val="14"/>
              </w:rPr>
              <w:t>$</w:t>
            </w:r>
          </w:p>
        </w:tc>
        <w:tc>
          <w:tcPr>
            <w:tcW w:w="93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5,785,100 </w:t>
            </w:r>
          </w:p>
        </w:tc>
        <w:tc>
          <w:tcPr>
            <w:tcW w:w="16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4C5966"/>
                <w:sz w:val="14"/>
              </w:rPr>
            </w:pPr>
            <w:r>
              <w:rPr>
                <w:rFonts w:ascii="Montserrat;sans-serif" w:hAnsi="Montserrat;sans-serif"/>
                <w:b/>
                <w:color w:val="4C5966"/>
                <w:sz w:val="14"/>
              </w:rPr>
              <w:t>Liabilities and stockholders’ equity</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4"/>
              </w:rPr>
            </w:pPr>
            <w:r>
              <w:rPr>
                <w:rFonts w:ascii="Montserrat;sans-serif" w:hAnsi="Montserrat;sans-serif"/>
                <w:b w:val="false"/>
                <w:color w:val="4C5966"/>
                <w:sz w:val="14"/>
              </w:rPr>
              <w:t>Current liabilities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4"/>
              </w:rPr>
            </w:pPr>
            <w:r>
              <w:rPr>
                <w:rFonts w:ascii="Montserrat;sans-serif" w:hAnsi="Montserrat;sans-serif"/>
                <w:b w:val="false"/>
                <w:color w:val="4C5966"/>
                <w:sz w:val="14"/>
              </w:rPr>
              <w:t>Accounts payable</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4"/>
              </w:rPr>
            </w:pPr>
            <w:r>
              <w:rPr>
                <w:rFonts w:ascii="Montserrat;sans-serif" w:hAnsi="Montserrat;sans-serif"/>
                <w:b w:val="false"/>
                <w:color w:val="4C5966"/>
                <w:sz w:val="14"/>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56,219 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4"/>
              </w:rPr>
            </w:pPr>
            <w:r>
              <w:rPr>
                <w:rFonts w:ascii="Montserrat;sans-serif" w:hAnsi="Montserrat;sans-serif"/>
                <w:b w:val="false"/>
                <w:color w:val="4C5966"/>
                <w:sz w:val="14"/>
              </w:rPr>
              <w:t>$</w:t>
            </w:r>
          </w:p>
        </w:tc>
        <w:tc>
          <w:tcPr>
            <w:tcW w:w="936" w:type="dxa"/>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50,949 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4"/>
              </w:rPr>
            </w:pPr>
            <w:r>
              <w:rPr>
                <w:rFonts w:ascii="Montserrat;sans-serif" w:hAnsi="Montserrat;sans-serif"/>
                <w:b w:val="false"/>
                <w:color w:val="4C5966"/>
                <w:sz w:val="14"/>
              </w:rPr>
              <w:t>Accrued compensation</w:t>
            </w:r>
          </w:p>
        </w:tc>
        <w:tc>
          <w:tcPr>
            <w:tcW w:w="10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25,904 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40,942 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4"/>
              </w:rPr>
            </w:pPr>
            <w:r>
              <w:rPr>
                <w:rFonts w:ascii="Montserrat;sans-serif" w:hAnsi="Montserrat;sans-serif"/>
                <w:b w:val="false"/>
                <w:color w:val="4C5966"/>
                <w:sz w:val="14"/>
              </w:rPr>
              <w:t>Aggregated funds payable</w:t>
            </w:r>
          </w:p>
        </w:tc>
        <w:tc>
          <w:tcPr>
            <w:tcW w:w="10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32,636 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15,104 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4"/>
              </w:rPr>
            </w:pPr>
            <w:r>
              <w:rPr>
                <w:rFonts w:ascii="Montserrat;sans-serif" w:hAnsi="Montserrat;sans-serif"/>
                <w:b w:val="false"/>
                <w:color w:val="4C5966"/>
                <w:sz w:val="14"/>
              </w:rPr>
              <w:t>Other accrued expenses</w:t>
            </w:r>
          </w:p>
        </w:tc>
        <w:tc>
          <w:tcPr>
            <w:tcW w:w="10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42,812 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22,990 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4"/>
              </w:rPr>
            </w:pPr>
            <w:r>
              <w:rPr>
                <w:rFonts w:ascii="Montserrat;sans-serif" w:hAnsi="Montserrat;sans-serif"/>
                <w:b w:val="false"/>
                <w:color w:val="4C5966"/>
                <w:sz w:val="14"/>
              </w:rPr>
              <w:t>Deferred revenue</w:t>
            </w:r>
          </w:p>
        </w:tc>
        <w:tc>
          <w:tcPr>
            <w:tcW w:w="10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60,874 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67,855 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4"/>
              </w:rPr>
            </w:pPr>
            <w:r>
              <w:rPr>
                <w:rFonts w:ascii="Montserrat;sans-serif" w:hAnsi="Montserrat;sans-serif"/>
                <w:b w:val="false"/>
                <w:color w:val="4C5966"/>
                <w:sz w:val="14"/>
              </w:rPr>
              <w:t>Current portion of long-term debt</w:t>
            </w:r>
          </w:p>
        </w:tc>
        <w:tc>
          <w:tcPr>
            <w:tcW w:w="10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13,398 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13,537 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4"/>
              </w:rPr>
            </w:pPr>
            <w:r>
              <w:rPr>
                <w:rFonts w:ascii="Montserrat;sans-serif" w:hAnsi="Montserrat;sans-serif"/>
                <w:b w:val="false"/>
                <w:color w:val="4C5966"/>
                <w:sz w:val="14"/>
              </w:rPr>
              <w:t>Related party current portion of long-term debt</w:t>
            </w:r>
          </w:p>
        </w:tc>
        <w:tc>
          <w:tcPr>
            <w:tcW w:w="10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795 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657 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4"/>
              </w:rPr>
            </w:pPr>
            <w:r>
              <w:rPr>
                <w:rFonts w:ascii="Montserrat;sans-serif" w:hAnsi="Montserrat;sans-serif"/>
                <w:b w:val="false"/>
                <w:color w:val="4C5966"/>
                <w:sz w:val="14"/>
              </w:rPr>
              <w:t>Current portion of operating lease liabilities</w:t>
            </w:r>
          </w:p>
        </w:tc>
        <w:tc>
          <w:tcPr>
            <w:tcW w:w="10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5,083 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6,029 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8"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7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4"/>
              </w:rPr>
            </w:pPr>
            <w:r>
              <w:rPr>
                <w:rFonts w:ascii="Montserrat;sans-serif" w:hAnsi="Montserrat;sans-serif"/>
                <w:b w:val="false"/>
                <w:color w:val="4C5966"/>
                <w:sz w:val="14"/>
              </w:rPr>
              <w:t>Total current liabilities</w:t>
            </w:r>
          </w:p>
        </w:tc>
        <w:tc>
          <w:tcPr>
            <w:tcW w:w="10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237,721 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218,063 </w:t>
            </w:r>
          </w:p>
        </w:tc>
        <w:tc>
          <w:tcPr>
            <w:tcW w:w="16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4"/>
              </w:rPr>
            </w:pPr>
            <w:r>
              <w:rPr>
                <w:rFonts w:ascii="Montserrat;sans-serif" w:hAnsi="Montserrat;sans-serif"/>
                <w:b w:val="false"/>
                <w:color w:val="4C5966"/>
                <w:sz w:val="14"/>
              </w:rPr>
              <w:t>Long-term liabilities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4"/>
              </w:rPr>
            </w:pPr>
            <w:r>
              <w:rPr>
                <w:rFonts w:ascii="Montserrat;sans-serif" w:hAnsi="Montserrat;sans-serif"/>
                <w:b w:val="false"/>
                <w:color w:val="4C5966"/>
                <w:sz w:val="14"/>
              </w:rPr>
              <w:t>Deferred tax liability</w:t>
            </w:r>
          </w:p>
        </w:tc>
        <w:tc>
          <w:tcPr>
            <w:tcW w:w="10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175,322 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211,320 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4"/>
              </w:rPr>
            </w:pPr>
            <w:r>
              <w:rPr>
                <w:rFonts w:ascii="Montserrat;sans-serif" w:hAnsi="Montserrat;sans-serif"/>
                <w:b w:val="false"/>
                <w:color w:val="4C5966"/>
                <w:sz w:val="14"/>
              </w:rPr>
              <w:t>Long-term debt, net, less current portion</w:t>
            </w:r>
          </w:p>
        </w:tc>
        <w:tc>
          <w:tcPr>
            <w:tcW w:w="10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1,376,348 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1,394,523 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4"/>
              </w:rPr>
            </w:pPr>
            <w:r>
              <w:rPr>
                <w:rFonts w:ascii="Montserrat;sans-serif" w:hAnsi="Montserrat;sans-serif"/>
                <w:b w:val="false"/>
                <w:color w:val="4C5966"/>
                <w:sz w:val="14"/>
              </w:rPr>
              <w:t>Related party long-term debt, net, less current portion</w:t>
            </w:r>
          </w:p>
        </w:tc>
        <w:tc>
          <w:tcPr>
            <w:tcW w:w="10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76,199 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64,186 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4"/>
              </w:rPr>
            </w:pPr>
            <w:r>
              <w:rPr>
                <w:rFonts w:ascii="Montserrat;sans-serif" w:hAnsi="Montserrat;sans-serif"/>
                <w:b w:val="false"/>
                <w:color w:val="4C5966"/>
                <w:sz w:val="14"/>
              </w:rPr>
              <w:t>Operating lease liabilities, net of current portion</w:t>
            </w:r>
          </w:p>
        </w:tc>
        <w:tc>
          <w:tcPr>
            <w:tcW w:w="10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9,897 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11,994 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8"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7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4"/>
              </w:rPr>
            </w:pPr>
            <w:r>
              <w:rPr>
                <w:rFonts w:ascii="Montserrat;sans-serif" w:hAnsi="Montserrat;sans-serif"/>
                <w:b w:val="false"/>
                <w:color w:val="4C5966"/>
                <w:sz w:val="14"/>
              </w:rPr>
              <w:t>Deferred revenue - long-term</w:t>
            </w:r>
          </w:p>
        </w:tc>
        <w:tc>
          <w:tcPr>
            <w:tcW w:w="10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6,754 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5,496 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4"/>
              </w:rPr>
            </w:pPr>
            <w:r>
              <w:rPr>
                <w:rFonts w:ascii="Montserrat;sans-serif" w:hAnsi="Montserrat;sans-serif"/>
                <w:b w:val="false"/>
                <w:color w:val="4C5966"/>
                <w:sz w:val="14"/>
              </w:rPr>
              <w:t>Other long-term liabilities</w:t>
            </w:r>
          </w:p>
        </w:tc>
        <w:tc>
          <w:tcPr>
            <w:tcW w:w="10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278 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692 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4"/>
              </w:rPr>
            </w:pPr>
            <w:r>
              <w:rPr>
                <w:rFonts w:ascii="Montserrat;sans-serif" w:hAnsi="Montserrat;sans-serif"/>
                <w:b w:val="false"/>
                <w:color w:val="4C5966"/>
                <w:sz w:val="14"/>
              </w:rPr>
              <w:t>Total liabilities</w:t>
            </w:r>
          </w:p>
        </w:tc>
        <w:tc>
          <w:tcPr>
            <w:tcW w:w="10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1,882,519 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1,906,274 </w:t>
            </w:r>
          </w:p>
        </w:tc>
        <w:tc>
          <w:tcPr>
            <w:tcW w:w="16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4"/>
              </w:rPr>
            </w:pPr>
            <w:r>
              <w:rPr>
                <w:rFonts w:ascii="Montserrat;sans-serif" w:hAnsi="Montserrat;sans-serif"/>
                <w:b w:val="false"/>
                <w:color w:val="4C5966"/>
                <w:sz w:val="14"/>
              </w:rPr>
              <w:t>Commitments and contingencies (Note 20)</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4"/>
              </w:rPr>
            </w:pPr>
            <w:r>
              <w:rPr>
                <w:rFonts w:ascii="Montserrat;sans-serif" w:hAnsi="Montserrat;sans-serif"/>
                <w:b w:val="false"/>
                <w:color w:val="4C5966"/>
                <w:sz w:val="14"/>
              </w:rPr>
              <w:t>Stockholders’ equity</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8"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rFonts w:ascii="Montserrat;sans-serif" w:hAnsi="Montserrat;sans-serif"/>
                <w:b w:val="false"/>
                <w:color w:val="4C5966"/>
                <w:sz w:val="14"/>
              </w:rPr>
            </w:pPr>
            <w:r>
              <w:rPr>
                <w:rFonts w:ascii="Montserrat;sans-serif" w:hAnsi="Montserrat;sans-serif"/>
                <w:b w:val="false"/>
                <w:color w:val="4C5966"/>
                <w:sz w:val="14"/>
              </w:rPr>
              <w:t>Preferred stock $0.01 par value - 100,000,000 shares authorized as of June 30, 2026 and December 31, 2025, respectively; zero shares issued or outstanding as of June 30, 2026 and December 31, 2025, respectively</w:t>
            </w:r>
          </w:p>
        </w:tc>
        <w:tc>
          <w:tcPr>
            <w:tcW w:w="106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4C5966"/>
              </w:rPr>
            </w:pPr>
            <w:r>
              <w:rPr>
                <w:color w:val="4C5966"/>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4C5966"/>
              </w:rPr>
            </w:pPr>
            <w:r>
              <w:rPr>
                <w:color w:val="4C5966"/>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8"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rFonts w:ascii="Montserrat;sans-serif" w:hAnsi="Montserrat;sans-serif"/>
                <w:b w:val="false"/>
                <w:color w:val="4C5966"/>
                <w:sz w:val="14"/>
              </w:rPr>
            </w:pPr>
            <w:r>
              <w:rPr>
                <w:rFonts w:ascii="Montserrat;sans-serif" w:hAnsi="Montserrat;sans-serif"/>
                <w:b w:val="false"/>
                <w:color w:val="4C5966"/>
                <w:sz w:val="14"/>
              </w:rPr>
              <w:t>Common stock $0.01 par value - 2,500,000,000 shares authorized at June 30, 2026 and December 31, 2025, respectively; 192,583,037 and 191,587,193 shares outstanding at June 30, 2026 and December 31, 2025, respectively; 191,923,976 and 191,587,193 shares outstanding at June 30, 2026 and December 31, 2025, respectively</w:t>
            </w:r>
          </w:p>
        </w:tc>
        <w:tc>
          <w:tcPr>
            <w:tcW w:w="10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1,926 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1,916 </w:t>
            </w:r>
          </w:p>
        </w:tc>
        <w:tc>
          <w:tcPr>
            <w:tcW w:w="168"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4"/>
              </w:rPr>
            </w:pPr>
            <w:r>
              <w:rPr>
                <w:rFonts w:ascii="Montserrat;sans-serif" w:hAnsi="Montserrat;sans-serif"/>
                <w:b w:val="false"/>
                <w:color w:val="4C5966"/>
                <w:sz w:val="14"/>
              </w:rPr>
              <w:t>Treasury stock, at cost</w:t>
            </w:r>
          </w:p>
        </w:tc>
        <w:tc>
          <w:tcPr>
            <w:tcW w:w="10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(12,741)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4C5966"/>
              </w:rPr>
            </w:pPr>
            <w:r>
              <w:rPr>
                <w:color w:val="4C5966"/>
              </w:rPr>
              <w:t>— </w:t>
            </w:r>
          </w:p>
        </w:tc>
        <w:tc>
          <w:tcPr>
            <w:tcW w:w="168"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4"/>
              </w:rPr>
            </w:pPr>
            <w:r>
              <w:rPr>
                <w:rFonts w:ascii="Montserrat;sans-serif" w:hAnsi="Montserrat;sans-serif"/>
                <w:b w:val="false"/>
                <w:color w:val="4C5966"/>
                <w:sz w:val="14"/>
              </w:rPr>
              <w:t>Additional paid-in capital</w:t>
            </w:r>
          </w:p>
        </w:tc>
        <w:tc>
          <w:tcPr>
            <w:tcW w:w="10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4,020,499 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3,986,353 </w:t>
            </w:r>
          </w:p>
        </w:tc>
        <w:tc>
          <w:tcPr>
            <w:tcW w:w="168"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4"/>
              </w:rPr>
            </w:pPr>
            <w:r>
              <w:rPr>
                <w:rFonts w:ascii="Montserrat;sans-serif" w:hAnsi="Montserrat;sans-serif"/>
                <w:b w:val="false"/>
                <w:color w:val="4C5966"/>
                <w:sz w:val="14"/>
              </w:rPr>
              <w:t>Accumulated other comprehensive income (loss)</w:t>
            </w:r>
          </w:p>
        </w:tc>
        <w:tc>
          <w:tcPr>
            <w:tcW w:w="10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1,219 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(632)</w:t>
            </w:r>
          </w:p>
        </w:tc>
        <w:tc>
          <w:tcPr>
            <w:tcW w:w="168"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4"/>
              </w:rPr>
            </w:pPr>
            <w:r>
              <w:rPr>
                <w:rFonts w:ascii="Montserrat;sans-serif" w:hAnsi="Montserrat;sans-serif"/>
                <w:b w:val="false"/>
                <w:color w:val="4C5966"/>
                <w:sz w:val="14"/>
              </w:rPr>
              <w:t>Accumulated deficit</w:t>
            </w:r>
          </w:p>
        </w:tc>
        <w:tc>
          <w:tcPr>
            <w:tcW w:w="10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(24,661)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(108,811)</w:t>
            </w:r>
          </w:p>
        </w:tc>
        <w:tc>
          <w:tcPr>
            <w:tcW w:w="168"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4"/>
              </w:rPr>
            </w:pPr>
            <w:r>
              <w:rPr>
                <w:rFonts w:ascii="Montserrat;sans-serif" w:hAnsi="Montserrat;sans-serif"/>
                <w:b w:val="false"/>
                <w:color w:val="4C5966"/>
                <w:sz w:val="14"/>
              </w:rPr>
              <w:t>Total stockholders’ equity</w:t>
            </w:r>
          </w:p>
        </w:tc>
        <w:tc>
          <w:tcPr>
            <w:tcW w:w="10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3,986,242 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3,878,826 </w:t>
            </w:r>
          </w:p>
        </w:tc>
        <w:tc>
          <w:tcPr>
            <w:tcW w:w="168"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3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4"/>
              </w:rPr>
            </w:pPr>
            <w:r>
              <w:rPr>
                <w:rFonts w:ascii="Montserrat;sans-serif" w:hAnsi="Montserrat;sans-serif"/>
                <w:b w:val="false"/>
                <w:color w:val="4C5966"/>
                <w:sz w:val="14"/>
              </w:rPr>
              <w:t>Total liabilities and stockholders’ equity</w:t>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4C5966"/>
                <w:sz w:val="14"/>
              </w:rPr>
            </w:pPr>
            <w:r>
              <w:rPr>
                <w:rFonts w:ascii="Montserrat;sans-serif" w:hAnsi="Montserrat;sans-serif"/>
                <w:b w:val="false"/>
                <w:color w:val="4C5966"/>
                <w:sz w:val="14"/>
              </w:rPr>
              <w:t>$</w:t>
            </w:r>
          </w:p>
        </w:tc>
        <w:tc>
          <w:tcPr>
            <w:tcW w:w="8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5,868,761 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4C5966"/>
                <w:sz w:val="14"/>
              </w:rPr>
            </w:pPr>
            <w:r>
              <w:rPr>
                <w:rFonts w:ascii="Montserrat;sans-serif" w:hAnsi="Montserrat;sans-serif"/>
                <w:b w:val="false"/>
                <w:color w:val="4C5966"/>
                <w:sz w:val="14"/>
              </w:rPr>
              <w:t>$</w:t>
            </w:r>
          </w:p>
        </w:tc>
        <w:tc>
          <w:tcPr>
            <w:tcW w:w="9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4C5966"/>
                <w:sz w:val="14"/>
              </w:rPr>
            </w:pPr>
            <w:r>
              <w:rPr>
                <w:rFonts w:ascii="Montserrat;sans-serif" w:hAnsi="Montserrat;sans-serif"/>
                <w:b w:val="false"/>
                <w:color w:val="4C5966"/>
                <w:sz w:val="14"/>
              </w:rPr>
              <w:t>5,785,100 </w:t>
            </w:r>
          </w:p>
        </w:tc>
        <w:tc>
          <w:tcPr>
            <w:tcW w:w="16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Montserrat;sans-serif" w:hAnsi="Montserrat;sans-serif"/>
          <w:b/>
          <w:color w:val="4C5966"/>
          <w:sz w:val="20"/>
        </w:rPr>
      </w:pPr>
      <w:r>
        <w:rPr>
          <w:rFonts w:ascii="Montserrat;sans-serif" w:hAnsi="Montserrat;sans-serif"/>
          <w:b/>
          <w:color w:val="4C5966"/>
          <w:sz w:val="20"/>
        </w:rPr>
        <w:t>Waystar</w:t>
      </w:r>
    </w:p>
    <w:p>
      <w:pPr>
        <w:pStyle w:val="TextBody"/>
        <w:bidi w:val="0"/>
        <w:spacing w:lineRule="auto" w:line="288" w:before="0" w:after="0"/>
        <w:jc w:val="center"/>
        <w:rPr>
          <w:rFonts w:ascii="Montserrat;sans-serif" w:hAnsi="Montserrat;sans-serif"/>
          <w:b/>
          <w:color w:val="4C5966"/>
          <w:sz w:val="20"/>
        </w:rPr>
      </w:pPr>
      <w:r>
        <w:rPr>
          <w:rFonts w:ascii="Montserrat;sans-serif" w:hAnsi="Montserrat;sans-serif"/>
          <w:b/>
          <w:color w:val="4C5966"/>
          <w:sz w:val="20"/>
        </w:rPr>
        <w:t xml:space="preserve">Unaudited Consolidated Statements of Cash Flows </w:t>
      </w:r>
    </w:p>
    <w:p>
      <w:pPr>
        <w:pStyle w:val="TextBody"/>
        <w:bidi w:val="0"/>
        <w:spacing w:lineRule="auto" w:line="288" w:before="0" w:after="240"/>
        <w:jc w:val="center"/>
        <w:rPr>
          <w:rFonts w:ascii="Montserrat;sans-serif" w:hAnsi="Montserrat;sans-serif"/>
          <w:b/>
          <w:color w:val="4C5966"/>
          <w:sz w:val="20"/>
        </w:rPr>
      </w:pPr>
      <w:r>
        <w:rPr>
          <w:rFonts w:ascii="Montserrat;sans-serif" w:hAnsi="Montserrat;sans-serif"/>
          <w:b/>
          <w:color w:val="4C5966"/>
          <w:sz w:val="20"/>
        </w:rPr>
        <w:t>(in thousands)</w:t>
      </w:r>
    </w:p>
    <w:tbl>
      <w:tblPr>
        <w:tblW w:w="10205" w:type="dxa"/>
        <w:jc w:val="center"/>
        <w:tblInd w:w="0" w:type="dxa"/>
        <w:tblLayout w:type="fixed"/>
        <w:tblCellMar>
          <w:top w:w="28" w:type="dxa"/>
          <w:left w:w="28" w:type="dxa"/>
          <w:bottom w:w="28" w:type="dxa"/>
          <w:right w:w="28" w:type="dxa"/>
        </w:tblCellMar>
      </w:tblPr>
      <w:tblGrid>
        <w:gridCol w:w="2682"/>
        <w:gridCol w:w="2320"/>
        <w:gridCol w:w="2328"/>
        <w:gridCol w:w="219"/>
        <w:gridCol w:w="749"/>
        <w:gridCol w:w="112"/>
        <w:gridCol w:w="112"/>
        <w:gridCol w:w="112"/>
        <w:gridCol w:w="112"/>
        <w:gridCol w:w="219"/>
        <w:gridCol w:w="858"/>
        <w:gridCol w:w="112"/>
        <w:gridCol w:w="109"/>
        <w:gridCol w:w="161"/>
      </w:tblGrid>
      <w:tr>
        <w:trPr/>
        <w:tc>
          <w:tcPr>
            <w:tcW w:w="2682"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4C5966"/>
                <w:sz w:val="16"/>
              </w:rPr>
            </w:pPr>
            <w:r>
              <w:rPr>
                <w:rFonts w:ascii="Montserrat;sans-serif" w:hAnsi="Montserrat;sans-serif"/>
                <w:b/>
                <w:color w:val="4C5966"/>
                <w:sz w:val="16"/>
              </w:rPr>
              <w:t>Six Months Ended June 30,</w:t>
            </w:r>
          </w:p>
        </w:tc>
        <w:tc>
          <w:tcPr>
            <w:tcW w:w="270" w:type="dxa"/>
            <w:gridSpan w:val="2"/>
            <w:tcBorders/>
          </w:tcPr>
          <w:p>
            <w:pPr>
              <w:pStyle w:val="TableContents"/>
              <w:bidi w:val="0"/>
              <w:spacing w:before="0" w:after="283"/>
              <w:jc w:val="left"/>
              <w:rPr>
                <w:sz w:val="4"/>
                <w:szCs w:val="4"/>
              </w:rPr>
            </w:pPr>
            <w:r>
              <w:rPr>
                <w:sz w:val="4"/>
                <w:szCs w:val="4"/>
              </w:rPr>
            </w:r>
          </w:p>
        </w:tc>
      </w:tr>
      <w:tr>
        <w:trPr/>
        <w:tc>
          <w:tcPr>
            <w:tcW w:w="7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4C5966"/>
                <w:sz w:val="16"/>
              </w:rPr>
            </w:pPr>
            <w:r>
              <w:rPr>
                <w:rFonts w:ascii="Montserrat;sans-serif" w:hAnsi="Montserrat;sans-serif"/>
                <w:b/>
                <w:color w:val="4C5966"/>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4C5966"/>
                <w:sz w:val="16"/>
              </w:rPr>
            </w:pPr>
            <w:r>
              <w:rPr>
                <w:rFonts w:ascii="Montserrat;sans-serif" w:hAnsi="Montserrat;sans-serif"/>
                <w:b/>
                <w:color w:val="4C5966"/>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4C5966"/>
                <w:sz w:val="16"/>
              </w:rPr>
            </w:pPr>
            <w:r>
              <w:rPr>
                <w:rFonts w:ascii="Montserrat;sans-serif" w:hAnsi="Montserrat;sans-serif"/>
                <w:b/>
                <w:color w:val="4C5966"/>
                <w:sz w:val="16"/>
              </w:rPr>
              <w:t>Cash flows from operating activities</w:t>
            </w:r>
          </w:p>
        </w:tc>
        <w:tc>
          <w:tcPr>
            <w:tcW w:w="1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6"/>
              </w:rPr>
            </w:pPr>
            <w:r>
              <w:rPr>
                <w:rFonts w:ascii="Montserrat;sans-serif" w:hAnsi="Montserrat;sans-serif"/>
                <w:b w:val="false"/>
                <w:color w:val="4C5966"/>
                <w:sz w:val="16"/>
              </w:rPr>
              <w:t>Net income</w:t>
            </w:r>
          </w:p>
        </w:tc>
        <w:tc>
          <w:tcPr>
            <w:tcW w:w="219" w:type="dxa"/>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6"/>
              </w:rPr>
            </w:pPr>
            <w:r>
              <w:rPr>
                <w:rFonts w:ascii="Montserrat;sans-serif" w:hAnsi="Montserrat;sans-serif"/>
                <w:b w:val="false"/>
                <w:color w:val="4C5966"/>
                <w:sz w:val="16"/>
              </w:rPr>
              <w:t>$</w:t>
            </w:r>
          </w:p>
        </w:tc>
        <w:tc>
          <w:tcPr>
            <w:tcW w:w="749" w:type="dxa"/>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84,150 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6"/>
              </w:rPr>
            </w:pPr>
            <w:r>
              <w:rPr>
                <w:rFonts w:ascii="Montserrat;sans-serif" w:hAnsi="Montserrat;sans-serif"/>
                <w:b w:val="false"/>
                <w:color w:val="4C5966"/>
                <w:sz w:val="16"/>
              </w:rPr>
              <w:t>$</w:t>
            </w:r>
          </w:p>
        </w:tc>
        <w:tc>
          <w:tcPr>
            <w:tcW w:w="858" w:type="dxa"/>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61,453 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6"/>
              </w:rPr>
            </w:pPr>
            <w:r>
              <w:rPr>
                <w:rFonts w:ascii="Montserrat;sans-serif" w:hAnsi="Montserrat;sans-serif"/>
                <w:b w:val="false"/>
                <w:color w:val="4C5966"/>
                <w:sz w:val="16"/>
              </w:rPr>
              <w:t>Adjustments to reconcile net income to net cash provided by operating activities</w:t>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6"/>
              </w:rPr>
            </w:pPr>
            <w:r>
              <w:rPr>
                <w:rFonts w:ascii="Montserrat;sans-serif" w:hAnsi="Montserrat;sans-serif"/>
                <w:b w:val="false"/>
                <w:color w:val="4C5966"/>
                <w:sz w:val="16"/>
              </w:rPr>
              <w:t>Depreciation and amortization</w:t>
            </w:r>
          </w:p>
        </w:tc>
        <w:tc>
          <w:tcPr>
            <w:tcW w:w="9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82,918 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66,806 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6"/>
              </w:rPr>
            </w:pPr>
            <w:r>
              <w:rPr>
                <w:rFonts w:ascii="Montserrat;sans-serif" w:hAnsi="Montserrat;sans-serif"/>
                <w:b w:val="false"/>
                <w:color w:val="4C5966"/>
                <w:sz w:val="16"/>
              </w:rPr>
              <w:t>Stock-based compensation</w:t>
            </w:r>
          </w:p>
        </w:tc>
        <w:tc>
          <w:tcPr>
            <w:tcW w:w="9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25,249 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18,274 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6"/>
              </w:rPr>
            </w:pPr>
            <w:r>
              <w:rPr>
                <w:rFonts w:ascii="Montserrat;sans-serif" w:hAnsi="Montserrat;sans-serif"/>
                <w:b w:val="false"/>
                <w:color w:val="4C5966"/>
                <w:sz w:val="16"/>
              </w:rPr>
              <w:t>Provision for bad debt expense</w:t>
            </w:r>
          </w:p>
        </w:tc>
        <w:tc>
          <w:tcPr>
            <w:tcW w:w="9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2,049 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1,872 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6"/>
              </w:rPr>
            </w:pPr>
            <w:r>
              <w:rPr>
                <w:rFonts w:ascii="Montserrat;sans-serif" w:hAnsi="Montserrat;sans-serif"/>
                <w:b w:val="false"/>
                <w:color w:val="4C5966"/>
                <w:sz w:val="16"/>
              </w:rPr>
              <w:t>Loss on extinguishment of debt</w:t>
            </w:r>
          </w:p>
        </w:tc>
        <w:tc>
          <w:tcPr>
            <w:tcW w:w="9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113 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4C5966"/>
              </w:rPr>
            </w:pPr>
            <w:r>
              <w:rPr>
                <w:color w:val="4C5966"/>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33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6"/>
              </w:rPr>
            </w:pPr>
            <w:r>
              <w:rPr>
                <w:rFonts w:ascii="Montserrat;sans-serif" w:hAnsi="Montserrat;sans-serif"/>
                <w:b w:val="false"/>
                <w:color w:val="4C5966"/>
                <w:sz w:val="16"/>
              </w:rPr>
              <w:t>Impairment expense</w:t>
            </w:r>
          </w:p>
        </w:tc>
        <w:tc>
          <w:tcPr>
            <w:tcW w:w="9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1,990 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4C5966"/>
              </w:rPr>
            </w:pPr>
            <w:r>
              <w:rPr>
                <w:color w:val="4C5966"/>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6"/>
              </w:rPr>
            </w:pPr>
            <w:r>
              <w:rPr>
                <w:rFonts w:ascii="Montserrat;sans-serif" w:hAnsi="Montserrat;sans-serif"/>
                <w:b w:val="false"/>
                <w:color w:val="4C5966"/>
                <w:sz w:val="16"/>
              </w:rPr>
              <w:t>Deferred income taxes</w:t>
            </w:r>
          </w:p>
        </w:tc>
        <w:tc>
          <w:tcPr>
            <w:tcW w:w="9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(36,682)</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7,437 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6"/>
              </w:rPr>
            </w:pPr>
            <w:r>
              <w:rPr>
                <w:rFonts w:ascii="Montserrat;sans-serif" w:hAnsi="Montserrat;sans-serif"/>
                <w:b w:val="false"/>
                <w:color w:val="4C5966"/>
                <w:sz w:val="16"/>
              </w:rPr>
              <w:t>Amortization of debt discount and issuance costs</w:t>
            </w:r>
          </w:p>
        </w:tc>
        <w:tc>
          <w:tcPr>
            <w:tcW w:w="9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1,329 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1,346 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6"/>
              </w:rPr>
            </w:pPr>
            <w:r>
              <w:rPr>
                <w:rFonts w:ascii="Montserrat;sans-serif" w:hAnsi="Montserrat;sans-serif"/>
                <w:b w:val="false"/>
                <w:color w:val="4C5966"/>
                <w:sz w:val="16"/>
              </w:rPr>
              <w:t>Other</w:t>
            </w:r>
          </w:p>
        </w:tc>
        <w:tc>
          <w:tcPr>
            <w:tcW w:w="9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86 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4C5966"/>
              </w:rPr>
            </w:pPr>
            <w:r>
              <w:rPr>
                <w:color w:val="4C5966"/>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6"/>
              </w:rPr>
            </w:pPr>
            <w:r>
              <w:rPr>
                <w:rFonts w:ascii="Montserrat;sans-serif" w:hAnsi="Montserrat;sans-serif"/>
                <w:b w:val="false"/>
                <w:color w:val="4C5966"/>
                <w:sz w:val="16"/>
              </w:rPr>
              <w:t>Changes in:</w:t>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6"/>
              </w:rPr>
            </w:pPr>
            <w:r>
              <w:rPr>
                <w:rFonts w:ascii="Montserrat;sans-serif" w:hAnsi="Montserrat;sans-serif"/>
                <w:b w:val="false"/>
                <w:color w:val="4C5966"/>
                <w:sz w:val="16"/>
              </w:rPr>
              <w:t>Accounts receivable</w:t>
            </w:r>
          </w:p>
        </w:tc>
        <w:tc>
          <w:tcPr>
            <w:tcW w:w="9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(10,889)</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(135)</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6"/>
              </w:rPr>
            </w:pPr>
            <w:r>
              <w:rPr>
                <w:rFonts w:ascii="Montserrat;sans-serif" w:hAnsi="Montserrat;sans-serif"/>
                <w:b w:val="false"/>
                <w:color w:val="4C5966"/>
                <w:sz w:val="16"/>
              </w:rPr>
              <w:t>Income tax refundable</w:t>
            </w:r>
          </w:p>
        </w:tc>
        <w:tc>
          <w:tcPr>
            <w:tcW w:w="9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6,437 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2,838 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6"/>
              </w:rPr>
            </w:pPr>
            <w:r>
              <w:rPr>
                <w:rFonts w:ascii="Montserrat;sans-serif" w:hAnsi="Montserrat;sans-serif"/>
                <w:b w:val="false"/>
                <w:color w:val="4C5966"/>
                <w:sz w:val="16"/>
              </w:rPr>
              <w:t>Prepaid expenses and other current assets</w:t>
            </w:r>
          </w:p>
        </w:tc>
        <w:tc>
          <w:tcPr>
            <w:tcW w:w="9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(5,463)</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(968)</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6"/>
              </w:rPr>
            </w:pPr>
            <w:r>
              <w:rPr>
                <w:rFonts w:ascii="Montserrat;sans-serif" w:hAnsi="Montserrat;sans-serif"/>
                <w:b w:val="false"/>
                <w:color w:val="4C5966"/>
                <w:sz w:val="16"/>
              </w:rPr>
              <w:t>Deferred costs</w:t>
            </w:r>
          </w:p>
        </w:tc>
        <w:tc>
          <w:tcPr>
            <w:tcW w:w="9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(10,858)</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(5,140)</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6"/>
              </w:rPr>
            </w:pPr>
            <w:r>
              <w:rPr>
                <w:rFonts w:ascii="Montserrat;sans-serif" w:hAnsi="Montserrat;sans-serif"/>
                <w:b w:val="false"/>
                <w:color w:val="4C5966"/>
                <w:sz w:val="16"/>
              </w:rPr>
              <w:t>Other long-term assets</w:t>
            </w:r>
          </w:p>
        </w:tc>
        <w:tc>
          <w:tcPr>
            <w:tcW w:w="9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44 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58 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6"/>
              </w:rPr>
            </w:pPr>
            <w:r>
              <w:rPr>
                <w:rFonts w:ascii="Montserrat;sans-serif" w:hAnsi="Montserrat;sans-serif"/>
                <w:b w:val="false"/>
                <w:color w:val="4C5966"/>
                <w:sz w:val="16"/>
              </w:rPr>
              <w:t>Accounts payable and accrued expenses</w:t>
            </w:r>
          </w:p>
        </w:tc>
        <w:tc>
          <w:tcPr>
            <w:tcW w:w="9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10,544 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9,308 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6"/>
              </w:rPr>
            </w:pPr>
            <w:r>
              <w:rPr>
                <w:rFonts w:ascii="Montserrat;sans-serif" w:hAnsi="Montserrat;sans-serif"/>
                <w:b w:val="false"/>
                <w:color w:val="4C5966"/>
                <w:sz w:val="16"/>
              </w:rPr>
              <w:t>Deferred revenue</w:t>
            </w:r>
          </w:p>
        </w:tc>
        <w:tc>
          <w:tcPr>
            <w:tcW w:w="9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(5,723)</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(1,181)</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6"/>
              </w:rPr>
            </w:pPr>
            <w:r>
              <w:rPr>
                <w:rFonts w:ascii="Montserrat;sans-serif" w:hAnsi="Montserrat;sans-serif"/>
                <w:b w:val="false"/>
                <w:color w:val="4C5966"/>
                <w:sz w:val="16"/>
              </w:rPr>
              <w:t>Operating lease right-of-use assets and lease liabilities</w:t>
            </w:r>
          </w:p>
        </w:tc>
        <w:tc>
          <w:tcPr>
            <w:tcW w:w="9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(970)</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(959)</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33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6"/>
              </w:rPr>
            </w:pPr>
            <w:r>
              <w:rPr>
                <w:rFonts w:ascii="Montserrat;sans-serif" w:hAnsi="Montserrat;sans-serif"/>
                <w:b w:val="false"/>
                <w:color w:val="4C5966"/>
                <w:sz w:val="16"/>
              </w:rPr>
              <w:t>Net cash provided by operating activities</w:t>
            </w:r>
          </w:p>
        </w:tc>
        <w:tc>
          <w:tcPr>
            <w:tcW w:w="96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144,324 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161,009 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4C5966"/>
                <w:sz w:val="16"/>
              </w:rPr>
            </w:pPr>
            <w:r>
              <w:rPr>
                <w:rFonts w:ascii="Montserrat;sans-serif" w:hAnsi="Montserrat;sans-serif"/>
                <w:b/>
                <w:color w:val="4C5966"/>
                <w:sz w:val="16"/>
              </w:rPr>
              <w:t>Cash flows from investing activities</w:t>
            </w:r>
          </w:p>
        </w:tc>
        <w:tc>
          <w:tcPr>
            <w:tcW w:w="1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6"/>
              </w:rPr>
            </w:pPr>
            <w:r>
              <w:rPr>
                <w:rFonts w:ascii="Montserrat;sans-serif" w:hAnsi="Montserrat;sans-serif"/>
                <w:b w:val="false"/>
                <w:color w:val="4C5966"/>
                <w:sz w:val="16"/>
              </w:rPr>
              <w:t>Purchase of property and equipment and capitalization of internally developed software costs</w:t>
            </w:r>
          </w:p>
        </w:tc>
        <w:tc>
          <w:tcPr>
            <w:tcW w:w="9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(31,440)</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(11,193)</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33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6"/>
              </w:rPr>
            </w:pPr>
            <w:r>
              <w:rPr>
                <w:rFonts w:ascii="Montserrat;sans-serif" w:hAnsi="Montserrat;sans-serif"/>
                <w:b w:val="false"/>
                <w:color w:val="4C5966"/>
                <w:sz w:val="16"/>
              </w:rPr>
              <w:t>Purchase of investment securities</w:t>
            </w:r>
          </w:p>
        </w:tc>
        <w:tc>
          <w:tcPr>
            <w:tcW w:w="9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(260,167)</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(50,525)</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6"/>
              </w:rPr>
            </w:pPr>
            <w:r>
              <w:rPr>
                <w:rFonts w:ascii="Montserrat;sans-serif" w:hAnsi="Montserrat;sans-serif"/>
                <w:b w:val="false"/>
                <w:color w:val="4C5966"/>
                <w:sz w:val="16"/>
              </w:rPr>
              <w:t>Proceeds from sale or maturity of investment securities</w:t>
            </w:r>
          </w:p>
        </w:tc>
        <w:tc>
          <w:tcPr>
            <w:tcW w:w="9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107,488 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4C5966"/>
              </w:rPr>
            </w:pPr>
            <w:r>
              <w:rPr>
                <w:color w:val="4C5966"/>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6"/>
              </w:rPr>
            </w:pPr>
            <w:r>
              <w:rPr>
                <w:rFonts w:ascii="Montserrat;sans-serif" w:hAnsi="Montserrat;sans-serif"/>
                <w:b w:val="false"/>
                <w:color w:val="4C5966"/>
                <w:sz w:val="16"/>
              </w:rPr>
              <w:t>Measurement period adjustments related to prior year acquisition</w:t>
            </w:r>
          </w:p>
        </w:tc>
        <w:tc>
          <w:tcPr>
            <w:tcW w:w="9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2,037 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4C5966"/>
              </w:rPr>
            </w:pPr>
            <w:r>
              <w:rPr>
                <w:color w:val="4C5966"/>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6"/>
              </w:rPr>
            </w:pPr>
            <w:r>
              <w:rPr>
                <w:rFonts w:ascii="Montserrat;sans-serif" w:hAnsi="Montserrat;sans-serif"/>
                <w:b w:val="false"/>
                <w:color w:val="4C5966"/>
                <w:sz w:val="16"/>
              </w:rPr>
              <w:t>Net cash used in investing activities</w:t>
            </w:r>
          </w:p>
        </w:tc>
        <w:tc>
          <w:tcPr>
            <w:tcW w:w="96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(182,082)</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(61,718)</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4C5966"/>
                <w:sz w:val="16"/>
              </w:rPr>
            </w:pPr>
            <w:r>
              <w:rPr>
                <w:rFonts w:ascii="Montserrat;sans-serif" w:hAnsi="Montserrat;sans-serif"/>
                <w:b/>
                <w:color w:val="4C5966"/>
                <w:sz w:val="16"/>
              </w:rPr>
              <w:t>Cash flows from financing activities</w:t>
            </w:r>
          </w:p>
        </w:tc>
        <w:tc>
          <w:tcPr>
            <w:tcW w:w="1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6"/>
              </w:rPr>
            </w:pPr>
            <w:r>
              <w:rPr>
                <w:rFonts w:ascii="Montserrat;sans-serif" w:hAnsi="Montserrat;sans-serif"/>
                <w:b w:val="false"/>
                <w:color w:val="4C5966"/>
                <w:sz w:val="16"/>
              </w:rPr>
              <w:t>Change in aggregated funds liability</w:t>
            </w:r>
          </w:p>
        </w:tc>
        <w:tc>
          <w:tcPr>
            <w:tcW w:w="9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17,532 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(1,171)</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33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33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6"/>
              </w:rPr>
            </w:pPr>
            <w:r>
              <w:rPr>
                <w:rFonts w:ascii="Montserrat;sans-serif" w:hAnsi="Montserrat;sans-serif"/>
                <w:b w:val="false"/>
                <w:color w:val="4C5966"/>
                <w:sz w:val="16"/>
              </w:rPr>
              <w:t>Repurchase of common stock</w:t>
            </w:r>
          </w:p>
        </w:tc>
        <w:tc>
          <w:tcPr>
            <w:tcW w:w="9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(12,741)</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4C5966"/>
              </w:rPr>
            </w:pPr>
            <w:r>
              <w:rPr>
                <w:color w:val="4C5966"/>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6"/>
              </w:rPr>
            </w:pPr>
            <w:r>
              <w:rPr>
                <w:rFonts w:ascii="Montserrat;sans-serif" w:hAnsi="Montserrat;sans-serif"/>
                <w:b w:val="false"/>
                <w:color w:val="4C5966"/>
                <w:sz w:val="16"/>
              </w:rPr>
              <w:t>Proceeds from issuance of common stock from employee equity plans</w:t>
            </w:r>
          </w:p>
        </w:tc>
        <w:tc>
          <w:tcPr>
            <w:tcW w:w="9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8,867 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15,045 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6"/>
              </w:rPr>
            </w:pPr>
            <w:r>
              <w:rPr>
                <w:rFonts w:ascii="Montserrat;sans-serif" w:hAnsi="Montserrat;sans-serif"/>
                <w:b w:val="false"/>
                <w:color w:val="4C5966"/>
                <w:sz w:val="16"/>
              </w:rPr>
              <w:t>Proceeds from issuances of debt, net of creditor fees</w:t>
            </w:r>
          </w:p>
        </w:tc>
        <w:tc>
          <w:tcPr>
            <w:tcW w:w="9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19,800 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4C5966"/>
              </w:rPr>
            </w:pPr>
            <w:r>
              <w:rPr>
                <w:color w:val="4C5966"/>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6"/>
              </w:rPr>
            </w:pPr>
            <w:r>
              <w:rPr>
                <w:rFonts w:ascii="Montserrat;sans-serif" w:hAnsi="Montserrat;sans-serif"/>
                <w:b w:val="false"/>
                <w:color w:val="4C5966"/>
                <w:sz w:val="16"/>
              </w:rPr>
              <w:t>Payments on debt</w:t>
            </w:r>
          </w:p>
        </w:tc>
        <w:tc>
          <w:tcPr>
            <w:tcW w:w="9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(27,097)</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(5,834)</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33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33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6"/>
              </w:rPr>
            </w:pPr>
            <w:r>
              <w:rPr>
                <w:rFonts w:ascii="Montserrat;sans-serif" w:hAnsi="Montserrat;sans-serif"/>
                <w:b w:val="false"/>
                <w:color w:val="4C5966"/>
                <w:sz w:val="16"/>
              </w:rPr>
              <w:t>Finance lease liabilities paid</w:t>
            </w:r>
          </w:p>
        </w:tc>
        <w:tc>
          <w:tcPr>
            <w:tcW w:w="96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4C5966"/>
              </w:rPr>
            </w:pPr>
            <w:r>
              <w:rPr>
                <w:color w:val="4C5966"/>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(444)</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6"/>
              </w:rPr>
            </w:pPr>
            <w:r>
              <w:rPr>
                <w:rFonts w:ascii="Montserrat;sans-serif" w:hAnsi="Montserrat;sans-serif"/>
                <w:b w:val="false"/>
                <w:color w:val="4C5966"/>
                <w:sz w:val="16"/>
              </w:rPr>
              <w:t>Net cash provided by financing activities</w:t>
            </w:r>
          </w:p>
        </w:tc>
        <w:tc>
          <w:tcPr>
            <w:tcW w:w="96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6,361 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7,596 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6"/>
              </w:rPr>
            </w:pPr>
            <w:r>
              <w:rPr>
                <w:rFonts w:ascii="Montserrat;sans-serif" w:hAnsi="Montserrat;sans-serif"/>
                <w:b w:val="false"/>
                <w:color w:val="4C5966"/>
                <w:sz w:val="16"/>
              </w:rPr>
              <w:t>Increase/(decrease) in cash and cash equivalents during the period</w:t>
            </w:r>
          </w:p>
        </w:tc>
        <w:tc>
          <w:tcPr>
            <w:tcW w:w="96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(31,397)</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106,887 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6"/>
              </w:rPr>
            </w:pPr>
            <w:r>
              <w:rPr>
                <w:rFonts w:ascii="Montserrat;sans-serif" w:hAnsi="Montserrat;sans-serif"/>
                <w:b w:val="false"/>
                <w:color w:val="4C5966"/>
                <w:sz w:val="16"/>
              </w:rPr>
              <w:t>Cash and cash equivalents and restricted cash–beginning of period</w:t>
            </w:r>
          </w:p>
        </w:tc>
        <w:tc>
          <w:tcPr>
            <w:tcW w:w="9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76,809 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204,582 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6"/>
              </w:rPr>
            </w:pPr>
            <w:r>
              <w:rPr>
                <w:rFonts w:ascii="Montserrat;sans-serif" w:hAnsi="Montserrat;sans-serif"/>
                <w:b w:val="false"/>
                <w:color w:val="4C5966"/>
                <w:sz w:val="16"/>
              </w:rPr>
              <w:t>Cash and cash equivalents and restricted cash–end of period</w:t>
            </w:r>
          </w:p>
        </w:tc>
        <w:tc>
          <w:tcPr>
            <w:tcW w:w="219"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6"/>
              </w:rPr>
            </w:pPr>
            <w:r>
              <w:rPr>
                <w:rFonts w:ascii="Montserrat;sans-serif" w:hAnsi="Montserrat;sans-serif"/>
                <w:b w:val="false"/>
                <w:color w:val="4C5966"/>
                <w:sz w:val="16"/>
              </w:rPr>
              <w:t>$</w:t>
            </w:r>
          </w:p>
        </w:tc>
        <w:tc>
          <w:tcPr>
            <w:tcW w:w="749"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45,412 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6"/>
              </w:rPr>
            </w:pPr>
            <w:r>
              <w:rPr>
                <w:rFonts w:ascii="Montserrat;sans-serif" w:hAnsi="Montserrat;sans-serif"/>
                <w:b w:val="false"/>
                <w:color w:val="4C5966"/>
                <w:sz w:val="16"/>
              </w:rPr>
              <w:t>$</w:t>
            </w:r>
          </w:p>
        </w:tc>
        <w:tc>
          <w:tcPr>
            <w:tcW w:w="858"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311,469 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4C5966"/>
                <w:sz w:val="16"/>
              </w:rPr>
            </w:pPr>
            <w:r>
              <w:rPr>
                <w:rFonts w:ascii="Montserrat;sans-serif" w:hAnsi="Montserrat;sans-serif"/>
                <w:b/>
                <w:color w:val="4C5966"/>
                <w:sz w:val="16"/>
              </w:rPr>
              <w:t>Supplemental disclosures of cash flow information</w:t>
            </w:r>
          </w:p>
        </w:tc>
        <w:tc>
          <w:tcPr>
            <w:tcW w:w="10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6"/>
              </w:rPr>
            </w:pPr>
            <w:r>
              <w:rPr>
                <w:rFonts w:ascii="Montserrat;sans-serif" w:hAnsi="Montserrat;sans-serif"/>
                <w:b w:val="false"/>
                <w:color w:val="4C5966"/>
                <w:sz w:val="16"/>
              </w:rPr>
              <w:t>Interest paid</w:t>
            </w:r>
          </w:p>
        </w:tc>
        <w:tc>
          <w:tcPr>
            <w:tcW w:w="219" w:type="dxa"/>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6"/>
              </w:rPr>
            </w:pPr>
            <w:r>
              <w:rPr>
                <w:rFonts w:ascii="Montserrat;sans-serif" w:hAnsi="Montserrat;sans-serif"/>
                <w:b w:val="false"/>
                <w:color w:val="4C5966"/>
                <w:sz w:val="16"/>
              </w:rPr>
              <w:t>$</w:t>
            </w:r>
          </w:p>
        </w:tc>
        <w:tc>
          <w:tcPr>
            <w:tcW w:w="749" w:type="dxa"/>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41,290 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6"/>
              </w:rPr>
            </w:pPr>
            <w:r>
              <w:rPr>
                <w:rFonts w:ascii="Montserrat;sans-serif" w:hAnsi="Montserrat;sans-serif"/>
                <w:b w:val="false"/>
                <w:color w:val="4C5966"/>
                <w:sz w:val="16"/>
              </w:rPr>
              <w:t>$</w:t>
            </w:r>
          </w:p>
        </w:tc>
        <w:tc>
          <w:tcPr>
            <w:tcW w:w="858" w:type="dxa"/>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39,745 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6"/>
              </w:rPr>
            </w:pPr>
            <w:r>
              <w:rPr>
                <w:rFonts w:ascii="Montserrat;sans-serif" w:hAnsi="Montserrat;sans-serif"/>
                <w:b w:val="false"/>
                <w:color w:val="4C5966"/>
                <w:sz w:val="16"/>
              </w:rPr>
              <w:t>Cash taxes paid (refunds received), net</w:t>
            </w:r>
          </w:p>
        </w:tc>
        <w:tc>
          <w:tcPr>
            <w:tcW w:w="9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42,816 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8,346 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4C5966"/>
                <w:sz w:val="16"/>
              </w:rPr>
            </w:pPr>
            <w:r>
              <w:rPr>
                <w:rFonts w:ascii="Montserrat;sans-serif" w:hAnsi="Montserrat;sans-serif"/>
                <w:b/>
                <w:color w:val="4C5966"/>
                <w:sz w:val="16"/>
              </w:rPr>
              <w:t>Non-cash investing and financing activities</w:t>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6"/>
              </w:rPr>
            </w:pPr>
            <w:r>
              <w:rPr>
                <w:rFonts w:ascii="Montserrat;sans-serif" w:hAnsi="Montserrat;sans-serif"/>
                <w:b w:val="false"/>
                <w:color w:val="4C5966"/>
                <w:sz w:val="16"/>
              </w:rPr>
              <w:t>Fixed asset purchases in accounts payable</w:t>
            </w:r>
          </w:p>
        </w:tc>
        <w:tc>
          <w:tcPr>
            <w:tcW w:w="9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114 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195 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33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33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4C5966"/>
                <w:sz w:val="16"/>
              </w:rPr>
            </w:pPr>
            <w:r>
              <w:rPr>
                <w:rFonts w:ascii="Montserrat;sans-serif" w:hAnsi="Montserrat;sans-serif"/>
                <w:b/>
                <w:color w:val="4C5966"/>
                <w:sz w:val="16"/>
              </w:rPr>
              <w:t>Reconciliation of Balance Sheet Cash Accounts to Cash Flow Statement</w:t>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6"/>
              </w:rPr>
            </w:pPr>
            <w:r>
              <w:rPr>
                <w:rFonts w:ascii="Montserrat;sans-serif" w:hAnsi="Montserrat;sans-serif"/>
                <w:b w:val="false"/>
                <w:color w:val="4C5966"/>
                <w:sz w:val="16"/>
              </w:rPr>
              <w:t>Balance sheet</w:t>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6"/>
              </w:rPr>
            </w:pPr>
            <w:r>
              <w:rPr>
                <w:rFonts w:ascii="Montserrat;sans-serif" w:hAnsi="Montserrat;sans-serif"/>
                <w:b w:val="false"/>
                <w:color w:val="4C5966"/>
                <w:sz w:val="16"/>
              </w:rPr>
              <w:t>Cash and cash equivalents</w:t>
            </w:r>
          </w:p>
        </w:tc>
        <w:tc>
          <w:tcPr>
            <w:tcW w:w="9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12,645 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290,300 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6"/>
              </w:rPr>
            </w:pPr>
            <w:r>
              <w:rPr>
                <w:rFonts w:ascii="Montserrat;sans-serif" w:hAnsi="Montserrat;sans-serif"/>
                <w:b w:val="false"/>
                <w:color w:val="4C5966"/>
                <w:sz w:val="16"/>
              </w:rPr>
              <w:t>Restricted cash</w:t>
            </w:r>
          </w:p>
        </w:tc>
        <w:tc>
          <w:tcPr>
            <w:tcW w:w="9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32,767 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21,169 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6"/>
              </w:rPr>
            </w:pPr>
            <w:r>
              <w:rPr>
                <w:rFonts w:ascii="Montserrat;sans-serif" w:hAnsi="Montserrat;sans-serif"/>
                <w:b w:val="false"/>
                <w:color w:val="4C5966"/>
                <w:sz w:val="16"/>
              </w:rPr>
              <w:t>Total</w:t>
            </w:r>
          </w:p>
        </w:tc>
        <w:tc>
          <w:tcPr>
            <w:tcW w:w="968"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45,412 </w:t>
            </w:r>
          </w:p>
        </w:tc>
        <w:tc>
          <w:tcPr>
            <w:tcW w:w="11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4C5966"/>
                <w:sz w:val="16"/>
              </w:rPr>
            </w:pPr>
            <w:r>
              <w:rPr>
                <w:rFonts w:ascii="Montserrat;sans-serif" w:hAnsi="Montserrat;sans-serif"/>
                <w:b w:val="false"/>
                <w:color w:val="4C5966"/>
                <w:sz w:val="16"/>
              </w:rPr>
              <w:t>311,469 </w:t>
            </w:r>
          </w:p>
        </w:tc>
        <w:tc>
          <w:tcPr>
            <w:tcW w:w="11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Montserrat;sans-serif" w:hAnsi="Montserrat;sans-serif"/>
          <w:b/>
          <w:color w:val="4C5966"/>
          <w:sz w:val="20"/>
        </w:rPr>
      </w:pPr>
      <w:r>
        <w:rPr>
          <w:rFonts w:ascii="Montserrat;sans-serif" w:hAnsi="Montserrat;sans-serif"/>
          <w:b/>
          <w:color w:val="4C5966"/>
          <w:sz w:val="20"/>
        </w:rPr>
        <w:t xml:space="preserve">Waystar </w:t>
      </w:r>
    </w:p>
    <w:p>
      <w:pPr>
        <w:pStyle w:val="TextBody"/>
        <w:bidi w:val="0"/>
        <w:spacing w:lineRule="auto" w:line="288" w:before="0" w:after="0"/>
        <w:jc w:val="center"/>
        <w:rPr>
          <w:rFonts w:ascii="Montserrat;sans-serif" w:hAnsi="Montserrat;sans-serif"/>
          <w:b/>
          <w:color w:val="4C5966"/>
          <w:sz w:val="20"/>
        </w:rPr>
      </w:pPr>
      <w:r>
        <w:rPr>
          <w:rFonts w:ascii="Montserrat;sans-serif" w:hAnsi="Montserrat;sans-serif"/>
          <w:b/>
          <w:color w:val="4C5966"/>
          <w:sz w:val="20"/>
        </w:rPr>
        <w:t>Reconciliation of Adjusted EBITDA</w:t>
      </w:r>
    </w:p>
    <w:p>
      <w:pPr>
        <w:pStyle w:val="TextBody"/>
        <w:bidi w:val="0"/>
        <w:spacing w:lineRule="auto" w:line="288" w:before="0" w:after="0"/>
        <w:jc w:val="center"/>
        <w:rPr>
          <w:rFonts w:ascii="Montserrat;sans-serif" w:hAnsi="Montserrat;sans-serif"/>
          <w:b/>
          <w:color w:val="4C5966"/>
          <w:sz w:val="20"/>
        </w:rPr>
      </w:pPr>
      <w:r>
        <w:rPr>
          <w:rFonts w:ascii="Montserrat;sans-serif" w:hAnsi="Montserrat;sans-serif"/>
          <w:b/>
          <w:color w:val="4C5966"/>
          <w:sz w:val="20"/>
        </w:rPr>
        <w:t xml:space="preserve">(in thousands) </w:t>
      </w:r>
    </w:p>
    <w:p>
      <w:pPr>
        <w:pStyle w:val="TextBody"/>
        <w:bidi w:val="0"/>
        <w:spacing w:lineRule="auto" w:line="288" w:before="0" w:after="240"/>
        <w:jc w:val="center"/>
        <w:rPr>
          <w:rFonts w:ascii="Montserrat;sans-serif" w:hAnsi="Montserrat;sans-serif"/>
          <w:b/>
          <w:color w:val="4C5966"/>
          <w:sz w:val="20"/>
        </w:rPr>
      </w:pPr>
      <w:r>
        <w:rPr>
          <w:rFonts w:ascii="Montserrat;sans-serif" w:hAnsi="Montserrat;sans-serif"/>
          <w:b/>
          <w:color w:val="4C5966"/>
          <w:sz w:val="20"/>
        </w:rPr>
        <w:t xml:space="preserve">(unaudited) </w:t>
      </w:r>
    </w:p>
    <w:tbl>
      <w:tblPr>
        <w:tblW w:w="10205" w:type="dxa"/>
        <w:jc w:val="left"/>
        <w:tblInd w:w="0" w:type="dxa"/>
        <w:tblLayout w:type="fixed"/>
        <w:tblCellMar>
          <w:top w:w="28" w:type="dxa"/>
          <w:left w:w="28" w:type="dxa"/>
          <w:bottom w:w="28" w:type="dxa"/>
          <w:right w:w="28" w:type="dxa"/>
        </w:tblCellMar>
      </w:tblPr>
      <w:tblGrid>
        <w:gridCol w:w="1327"/>
        <w:gridCol w:w="824"/>
        <w:gridCol w:w="828"/>
        <w:gridCol w:w="109"/>
        <w:gridCol w:w="109"/>
        <w:gridCol w:w="109"/>
        <w:gridCol w:w="228"/>
        <w:gridCol w:w="957"/>
        <w:gridCol w:w="289"/>
        <w:gridCol w:w="110"/>
        <w:gridCol w:w="110"/>
        <w:gridCol w:w="110"/>
        <w:gridCol w:w="228"/>
        <w:gridCol w:w="957"/>
        <w:gridCol w:w="289"/>
        <w:gridCol w:w="109"/>
        <w:gridCol w:w="109"/>
        <w:gridCol w:w="109"/>
        <w:gridCol w:w="226"/>
        <w:gridCol w:w="946"/>
        <w:gridCol w:w="286"/>
        <w:gridCol w:w="109"/>
        <w:gridCol w:w="109"/>
        <w:gridCol w:w="109"/>
        <w:gridCol w:w="226"/>
        <w:gridCol w:w="946"/>
        <w:gridCol w:w="337"/>
      </w:tblGrid>
      <w:tr>
        <w:trPr/>
        <w:tc>
          <w:tcPr>
            <w:tcW w:w="132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2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4C5966"/>
                <w:sz w:val="20"/>
              </w:rPr>
            </w:pPr>
            <w:r>
              <w:rPr>
                <w:rFonts w:ascii="Montserrat;sans-serif" w:hAnsi="Montserrat;sans-serif"/>
                <w:b/>
                <w:color w:val="4C5966"/>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4C5966"/>
                <w:sz w:val="20"/>
              </w:rPr>
            </w:pPr>
            <w:r>
              <w:rPr>
                <w:rFonts w:ascii="Montserrat;sans-serif" w:hAnsi="Montserrat;sans-serif"/>
                <w:b/>
                <w:color w:val="4C5966"/>
                <w:sz w:val="20"/>
              </w:rPr>
              <w:t>Six months ended June 30,</w:t>
            </w:r>
          </w:p>
        </w:tc>
      </w:tr>
      <w:tr>
        <w:trPr/>
        <w:tc>
          <w:tcPr>
            <w:tcW w:w="29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i/>
                <w:color w:val="4C5966"/>
                <w:sz w:val="20"/>
              </w:rPr>
            </w:pPr>
            <w:r>
              <w:rPr>
                <w:rFonts w:ascii="Montserrat;sans-serif" w:hAnsi="Montserrat;sans-serif"/>
                <w:b w:val="false"/>
                <w:i/>
                <w:color w:val="4C5966"/>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4C5966"/>
                <w:sz w:val="20"/>
              </w:rPr>
            </w:pPr>
            <w:r>
              <w:rPr>
                <w:rFonts w:ascii="Montserrat;sans-serif" w:hAnsi="Montserrat;sans-serif"/>
                <w:b/>
                <w:color w:val="4C5966"/>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4C5966"/>
                <w:sz w:val="20"/>
              </w:rPr>
            </w:pPr>
            <w:r>
              <w:rPr>
                <w:rFonts w:ascii="Montserrat;sans-serif" w:hAnsi="Montserrat;sans-serif"/>
                <w:b/>
                <w:color w:val="4C5966"/>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4C5966"/>
                <w:sz w:val="20"/>
              </w:rPr>
            </w:pPr>
            <w:r>
              <w:rPr>
                <w:rFonts w:ascii="Montserrat;sans-serif" w:hAnsi="Montserrat;sans-serif"/>
                <w:b/>
                <w:color w:val="4C5966"/>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4C5966"/>
                <w:sz w:val="20"/>
              </w:rPr>
            </w:pPr>
            <w:r>
              <w:rPr>
                <w:rFonts w:ascii="Montserrat;sans-serif" w:hAnsi="Montserrat;sans-serif"/>
                <w:b/>
                <w:color w:val="4C5966"/>
                <w:sz w:val="20"/>
              </w:rPr>
              <w:t>2025</w:t>
            </w:r>
          </w:p>
        </w:tc>
      </w:tr>
      <w:tr>
        <w:trPr/>
        <w:tc>
          <w:tcPr>
            <w:tcW w:w="2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2"/>
              </w:rPr>
            </w:pPr>
            <w:r>
              <w:rPr>
                <w:rFonts w:ascii="Montserrat;sans-serif" w:hAnsi="Montserrat;sans-serif"/>
                <w:b w:val="false"/>
                <w:color w:val="4C5966"/>
                <w:sz w:val="22"/>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0"/>
              </w:rPr>
            </w:pPr>
            <w:r>
              <w:rPr>
                <w:rFonts w:ascii="Montserrat;sans-serif" w:hAnsi="Montserrat;sans-serif"/>
                <w:b w:val="false"/>
                <w:color w:val="4C5966"/>
                <w:sz w:val="20"/>
              </w:rPr>
              <w:t>$</w:t>
            </w:r>
          </w:p>
        </w:tc>
        <w:tc>
          <w:tcPr>
            <w:tcW w:w="957"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40,867 </w:t>
            </w:r>
          </w:p>
        </w:tc>
        <w:tc>
          <w:tcPr>
            <w:tcW w:w="28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0"/>
              </w:rPr>
            </w:pPr>
            <w:r>
              <w:rPr>
                <w:rFonts w:ascii="Montserrat;sans-serif" w:hAnsi="Montserrat;sans-serif"/>
                <w:b w:val="false"/>
                <w:color w:val="4C5966"/>
                <w:sz w:val="20"/>
              </w:rPr>
              <w:t>$</w:t>
            </w:r>
          </w:p>
        </w:tc>
        <w:tc>
          <w:tcPr>
            <w:tcW w:w="957"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32,184 </w:t>
            </w:r>
          </w:p>
        </w:tc>
        <w:tc>
          <w:tcPr>
            <w:tcW w:w="28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0"/>
              </w:rPr>
            </w:pPr>
            <w:r>
              <w:rPr>
                <w:rFonts w:ascii="Montserrat;sans-serif" w:hAnsi="Montserrat;sans-serif"/>
                <w:b w:val="false"/>
                <w:color w:val="4C5966"/>
                <w:sz w:val="20"/>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84,150 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0"/>
              </w:rPr>
            </w:pPr>
            <w:r>
              <w:rPr>
                <w:rFonts w:ascii="Montserrat;sans-serif" w:hAnsi="Montserrat;sans-serif"/>
                <w:b w:val="false"/>
                <w:color w:val="4C5966"/>
                <w:sz w:val="20"/>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61,453 </w:t>
            </w:r>
          </w:p>
        </w:tc>
        <w:tc>
          <w:tcPr>
            <w:tcW w:w="337"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2"/>
              </w:rPr>
            </w:pPr>
            <w:r>
              <w:rPr>
                <w:rFonts w:ascii="Montserrat;sans-serif" w:hAnsi="Montserrat;sans-serif"/>
                <w:b w:val="false"/>
                <w:color w:val="4C5966"/>
                <w:sz w:val="22"/>
              </w:rPr>
              <w:t>Interest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19,646 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18,255 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40,293 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37,155 </w:t>
            </w:r>
          </w:p>
        </w:tc>
        <w:tc>
          <w:tcPr>
            <w:tcW w:w="33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2"/>
              </w:rPr>
            </w:pPr>
            <w:r>
              <w:rPr>
                <w:rFonts w:ascii="Montserrat;sans-serif" w:hAnsi="Montserrat;sans-serif"/>
                <w:b w:val="false"/>
                <w:color w:val="4C5966"/>
                <w:sz w:val="22"/>
              </w:rPr>
              <w:t>Income tax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15,529 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14,407 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32,064 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31,447 </w:t>
            </w:r>
          </w:p>
        </w:tc>
        <w:tc>
          <w:tcPr>
            <w:tcW w:w="33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2"/>
              </w:rPr>
            </w:pPr>
            <w:r>
              <w:rPr>
                <w:rFonts w:ascii="Montserrat;sans-serif" w:hAnsi="Montserrat;sans-serif"/>
                <w:b w:val="false"/>
                <w:color w:val="4C5966"/>
                <w:sz w:val="22"/>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41,466 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33,426 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82,918 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66,806 </w:t>
            </w:r>
          </w:p>
        </w:tc>
        <w:tc>
          <w:tcPr>
            <w:tcW w:w="33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2"/>
              </w:rPr>
            </w:pPr>
            <w:r>
              <w:rPr>
                <w:rFonts w:ascii="Montserrat;sans-serif" w:hAnsi="Montserrat;sans-serif"/>
                <w:b w:val="false"/>
                <w:color w:val="4C5966"/>
                <w:sz w:val="22"/>
              </w:rPr>
              <w:t>Stock-based compensation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13,803 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11,530 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25,249 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18,274 </w:t>
            </w:r>
          </w:p>
        </w:tc>
        <w:tc>
          <w:tcPr>
            <w:tcW w:w="33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2"/>
              </w:rPr>
            </w:pPr>
            <w:r>
              <w:rPr>
                <w:rFonts w:ascii="Montserrat;sans-serif" w:hAnsi="Montserrat;sans-serif"/>
                <w:b w:val="false"/>
                <w:color w:val="4C5966"/>
                <w:sz w:val="22"/>
              </w:rPr>
              <w:t>Acquisition and integration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1,801 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655 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3,607 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884 </w:t>
            </w:r>
          </w:p>
        </w:tc>
        <w:tc>
          <w:tcPr>
            <w:tcW w:w="33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2"/>
              </w:rPr>
            </w:pPr>
            <w:r>
              <w:rPr>
                <w:rFonts w:ascii="Montserrat;sans-serif" w:hAnsi="Montserrat;sans-serif"/>
                <w:b w:val="false"/>
                <w:color w:val="4C5966"/>
                <w:sz w:val="22"/>
              </w:rPr>
              <w:t>Asset and lease impairments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1,990 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4C5966"/>
              </w:rPr>
            </w:pPr>
            <w:r>
              <w:rPr>
                <w:color w:val="4C5966"/>
              </w:rPr>
              <w:t>—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1,990 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4C5966"/>
              </w:rPr>
            </w:pPr>
            <w:r>
              <w:rPr>
                <w:color w:val="4C5966"/>
              </w:rPr>
              <w:t>— </w:t>
            </w:r>
          </w:p>
        </w:tc>
        <w:tc>
          <w:tcPr>
            <w:tcW w:w="33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2"/>
              </w:rPr>
            </w:pPr>
            <w:r>
              <w:rPr>
                <w:rFonts w:ascii="Montserrat;sans-serif" w:hAnsi="Montserrat;sans-serif"/>
                <w:b w:val="false"/>
                <w:color w:val="4C5966"/>
                <w:sz w:val="22"/>
              </w:rPr>
              <w:t>Costs related to amended debt agreements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4C5966"/>
              </w:rPr>
            </w:pPr>
            <w:r>
              <w:rPr>
                <w:color w:val="4C5966"/>
              </w:rPr>
              <w:t>—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4C5966"/>
              </w:rPr>
            </w:pPr>
            <w:r>
              <w:rPr>
                <w:color w:val="4C5966"/>
              </w:rPr>
              <w:t>—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227 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4C5966"/>
              </w:rPr>
            </w:pPr>
            <w:r>
              <w:rPr>
                <w:color w:val="4C5966"/>
              </w:rPr>
              <w:t>— </w:t>
            </w:r>
          </w:p>
        </w:tc>
        <w:tc>
          <w:tcPr>
            <w:tcW w:w="33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2"/>
              </w:rPr>
            </w:pPr>
            <w:r>
              <w:rPr>
                <w:rFonts w:ascii="Montserrat;sans-serif" w:hAnsi="Montserrat;sans-serif"/>
                <w:b w:val="false"/>
                <w:color w:val="4C5966"/>
                <w:sz w:val="22"/>
              </w:rPr>
              <w:t>IPO and Secondary Offering related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5 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1,769 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12 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3,199 </w:t>
            </w:r>
          </w:p>
        </w:tc>
        <w:tc>
          <w:tcPr>
            <w:tcW w:w="33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2"/>
              </w:rPr>
            </w:pPr>
            <w:r>
              <w:rPr>
                <w:rFonts w:ascii="Montserrat;sans-serif" w:hAnsi="Montserrat;sans-serif"/>
                <w:b w:val="false"/>
                <w:color w:val="4C5966"/>
                <w:sz w:val="22"/>
              </w:rPr>
              <w:t>Other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1,618 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326 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1,618 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1,080 </w:t>
            </w:r>
          </w:p>
        </w:tc>
        <w:tc>
          <w:tcPr>
            <w:tcW w:w="33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2"/>
              </w:rPr>
            </w:pPr>
            <w:r>
              <w:rPr>
                <w:rFonts w:ascii="Montserrat;sans-serif" w:hAnsi="Montserrat;sans-serif"/>
                <w:b w:val="false"/>
                <w:color w:val="4C5966"/>
                <w:sz w:val="22"/>
              </w:rPr>
              <w:t>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0"/>
              </w:rPr>
            </w:pPr>
            <w:r>
              <w:rPr>
                <w:rFonts w:ascii="Montserrat;sans-serif" w:hAnsi="Montserrat;sans-serif"/>
                <w:b w:val="false"/>
                <w:color w:val="4C5966"/>
                <w:sz w:val="20"/>
              </w:rPr>
              <w:t>$</w:t>
            </w:r>
          </w:p>
        </w:tc>
        <w:tc>
          <w:tcPr>
            <w:tcW w:w="957"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136,725 </w:t>
            </w:r>
          </w:p>
        </w:tc>
        <w:tc>
          <w:tcPr>
            <w:tcW w:w="28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0"/>
              </w:rPr>
            </w:pPr>
            <w:r>
              <w:rPr>
                <w:rFonts w:ascii="Montserrat;sans-serif" w:hAnsi="Montserrat;sans-serif"/>
                <w:b w:val="false"/>
                <w:color w:val="4C5966"/>
                <w:sz w:val="20"/>
              </w:rPr>
              <w:t>$</w:t>
            </w:r>
          </w:p>
        </w:tc>
        <w:tc>
          <w:tcPr>
            <w:tcW w:w="957"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112,552 </w:t>
            </w:r>
          </w:p>
        </w:tc>
        <w:tc>
          <w:tcPr>
            <w:tcW w:w="28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0"/>
              </w:rPr>
            </w:pPr>
            <w:r>
              <w:rPr>
                <w:rFonts w:ascii="Montserrat;sans-serif" w:hAnsi="Montserrat;sans-serif"/>
                <w:b w:val="false"/>
                <w:color w:val="4C5966"/>
                <w:sz w:val="20"/>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272,128 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0"/>
              </w:rPr>
            </w:pPr>
            <w:r>
              <w:rPr>
                <w:rFonts w:ascii="Montserrat;sans-serif" w:hAnsi="Montserrat;sans-serif"/>
                <w:b w:val="false"/>
                <w:color w:val="4C5966"/>
                <w:sz w:val="20"/>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220,298 </w:t>
            </w:r>
          </w:p>
        </w:tc>
        <w:tc>
          <w:tcPr>
            <w:tcW w:w="337"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2"/>
              </w:rPr>
            </w:pPr>
            <w:r>
              <w:rPr>
                <w:rFonts w:ascii="Montserrat;sans-serif" w:hAnsi="Montserrat;sans-serif"/>
                <w:b w:val="false"/>
                <w:color w:val="4C5966"/>
                <w:sz w:val="22"/>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0"/>
              </w:rPr>
            </w:pPr>
            <w:r>
              <w:rPr>
                <w:rFonts w:ascii="Montserrat;sans-serif" w:hAnsi="Montserrat;sans-serif"/>
                <w:b w:val="false"/>
                <w:color w:val="4C5966"/>
                <w:sz w:val="20"/>
              </w:rPr>
              <w:t>$</w:t>
            </w:r>
          </w:p>
        </w:tc>
        <w:tc>
          <w:tcPr>
            <w:tcW w:w="957" w:type="dxa"/>
            <w:tcBorders>
              <w:top w:val="doub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319,674 </w:t>
            </w:r>
          </w:p>
        </w:tc>
        <w:tc>
          <w:tcPr>
            <w:tcW w:w="28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0"/>
              </w:rPr>
            </w:pPr>
            <w:r>
              <w:rPr>
                <w:rFonts w:ascii="Montserrat;sans-serif" w:hAnsi="Montserrat;sans-serif"/>
                <w:b w:val="false"/>
                <w:color w:val="4C5966"/>
                <w:sz w:val="20"/>
              </w:rPr>
              <w:t>$</w:t>
            </w:r>
          </w:p>
        </w:tc>
        <w:tc>
          <w:tcPr>
            <w:tcW w:w="957" w:type="dxa"/>
            <w:tcBorders>
              <w:top w:val="doub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270,654 </w:t>
            </w:r>
          </w:p>
        </w:tc>
        <w:tc>
          <w:tcPr>
            <w:tcW w:w="28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0"/>
              </w:rPr>
            </w:pPr>
            <w:r>
              <w:rPr>
                <w:rFonts w:ascii="Montserrat;sans-serif" w:hAnsi="Montserrat;sans-serif"/>
                <w:b w:val="false"/>
                <w:color w:val="4C5966"/>
                <w:sz w:val="20"/>
              </w:rPr>
              <w:t>$</w:t>
            </w:r>
          </w:p>
        </w:tc>
        <w:tc>
          <w:tcPr>
            <w:tcW w:w="946" w:type="dxa"/>
            <w:tcBorders>
              <w:top w:val="doub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633,548 </w:t>
            </w:r>
          </w:p>
        </w:tc>
        <w:tc>
          <w:tcPr>
            <w:tcW w:w="286"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0"/>
              </w:rPr>
            </w:pPr>
            <w:r>
              <w:rPr>
                <w:rFonts w:ascii="Montserrat;sans-serif" w:hAnsi="Montserrat;sans-serif"/>
                <w:b w:val="false"/>
                <w:color w:val="4C5966"/>
                <w:sz w:val="20"/>
              </w:rPr>
              <w:t>$</w:t>
            </w:r>
          </w:p>
        </w:tc>
        <w:tc>
          <w:tcPr>
            <w:tcW w:w="946" w:type="dxa"/>
            <w:tcBorders>
              <w:top w:val="doub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527,089 </w:t>
            </w:r>
          </w:p>
        </w:tc>
        <w:tc>
          <w:tcPr>
            <w:tcW w:w="337" w:type="dxa"/>
            <w:tcBorders>
              <w:top w:val="double" w:sz="8" w:space="0" w:color="000000"/>
            </w:tcBorders>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2"/>
              </w:rPr>
            </w:pPr>
            <w:r>
              <w:rPr>
                <w:rFonts w:ascii="Montserrat;sans-serif" w:hAnsi="Montserrat;sans-serif"/>
                <w:b w:val="false"/>
                <w:color w:val="4C5966"/>
                <w:sz w:val="22"/>
              </w:rPr>
              <w:t>Net income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12.8 </w:t>
            </w:r>
          </w:p>
        </w:tc>
        <w:tc>
          <w:tcPr>
            <w:tcW w:w="289" w:type="dxa"/>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11.9 </w:t>
            </w:r>
          </w:p>
        </w:tc>
        <w:tc>
          <w:tcPr>
            <w:tcW w:w="289" w:type="dxa"/>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13.3 </w:t>
            </w:r>
          </w:p>
        </w:tc>
        <w:tc>
          <w:tcPr>
            <w:tcW w:w="286" w:type="dxa"/>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11.7 </w:t>
            </w:r>
          </w:p>
        </w:tc>
        <w:tc>
          <w:tcPr>
            <w:tcW w:w="337" w:type="dxa"/>
            <w:tcBorders/>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Montserrat;sans-serif" w:hAnsi="Montserrat;sans-serif"/>
                <w:b w:val="false"/>
                <w:color w:val="4C5966"/>
                <w:sz w:val="20"/>
              </w:rPr>
            </w:pPr>
            <w:r>
              <w:rPr>
                <w:rFonts w:ascii="Montserrat;sans-serif" w:hAnsi="Montserrat;sans-serif"/>
                <w:b w:val="false"/>
                <w:color w:val="4C5966"/>
                <w:sz w:val="20"/>
              </w:rPr>
              <w:t>%</w:t>
            </w:r>
          </w:p>
        </w:tc>
      </w:tr>
      <w:tr>
        <w:trPr/>
        <w:tc>
          <w:tcPr>
            <w:tcW w:w="29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2"/>
              </w:rPr>
            </w:pPr>
            <w:r>
              <w:rPr>
                <w:rFonts w:ascii="Montserrat;sans-serif" w:hAnsi="Montserrat;sans-serif"/>
                <w:b w:val="false"/>
                <w:color w:val="4C5966"/>
                <w:sz w:val="22"/>
              </w:rPr>
              <w:t>Adjusted EBITDA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42.8 </w:t>
            </w:r>
          </w:p>
        </w:tc>
        <w:tc>
          <w:tcPr>
            <w:tcW w:w="289" w:type="dxa"/>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41.6 </w:t>
            </w:r>
          </w:p>
        </w:tc>
        <w:tc>
          <w:tcPr>
            <w:tcW w:w="289" w:type="dxa"/>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43.0 </w:t>
            </w:r>
          </w:p>
        </w:tc>
        <w:tc>
          <w:tcPr>
            <w:tcW w:w="286" w:type="dxa"/>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41.8 </w:t>
            </w:r>
          </w:p>
        </w:tc>
        <w:tc>
          <w:tcPr>
            <w:tcW w:w="337" w:type="dxa"/>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w:t>
            </w:r>
          </w:p>
        </w:tc>
      </w:tr>
    </w:tbl>
    <w:p>
      <w:pPr>
        <w:pStyle w:val="TextBody"/>
        <w:bidi w:val="0"/>
        <w:spacing w:lineRule="auto" w:line="288" w:before="0" w:after="240"/>
        <w:ind w:left="0" w:right="0" w:hanging="360"/>
        <w:jc w:val="left"/>
        <w:rPr>
          <w:rFonts w:ascii="Montserrat;sans-serif" w:hAnsi="Montserrat;sans-serif"/>
          <w:b w:val="false"/>
          <w:color w:val="4C5966"/>
          <w:sz w:val="16"/>
        </w:rPr>
      </w:pPr>
      <w:r>
        <w:rPr>
          <w:rFonts w:ascii="Montserrat;sans-serif" w:hAnsi="Montserrat;sans-serif"/>
          <w:b w:val="false"/>
          <w:color w:val="4C5966"/>
          <w:sz w:val="16"/>
        </w:rPr>
        <w:t>(a)For the three and six months ended June 30, 2026, adjustments reflect costs associated with a cybersecurity incident (see Item 1A of our Form 10-Q). For the three and six months ended June 30, 2025, adjustments include lease-related costs associated with the relocation of our Louisville office totaling $0.2 million and $0.4 million, respectively, and executive severance costs totaling $0.0 million and $0.5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Montserrat;sans-serif" w:hAnsi="Montserrat;sans-serif"/>
          <w:b/>
          <w:color w:val="4C5966"/>
          <w:sz w:val="20"/>
        </w:rPr>
      </w:pPr>
      <w:r>
        <w:rPr>
          <w:rFonts w:ascii="Montserrat;sans-serif" w:hAnsi="Montserrat;sans-serif"/>
          <w:b/>
          <w:color w:val="4C5966"/>
          <w:sz w:val="20"/>
        </w:rPr>
        <w:t xml:space="preserve">Waystar </w:t>
      </w:r>
    </w:p>
    <w:p>
      <w:pPr>
        <w:pStyle w:val="TextBody"/>
        <w:bidi w:val="0"/>
        <w:spacing w:lineRule="auto" w:line="288" w:before="0" w:after="0"/>
        <w:jc w:val="center"/>
        <w:rPr>
          <w:rFonts w:ascii="Montserrat;sans-serif" w:hAnsi="Montserrat;sans-serif"/>
          <w:b/>
          <w:color w:val="4C5966"/>
          <w:sz w:val="20"/>
        </w:rPr>
      </w:pPr>
      <w:r>
        <w:rPr>
          <w:rFonts w:ascii="Montserrat;sans-serif" w:hAnsi="Montserrat;sans-serif"/>
          <w:b/>
          <w:color w:val="4C5966"/>
          <w:sz w:val="20"/>
        </w:rPr>
        <w:t>Reconciliation of Non-GAAP Operating Expenses</w:t>
      </w:r>
    </w:p>
    <w:p>
      <w:pPr>
        <w:pStyle w:val="TextBody"/>
        <w:bidi w:val="0"/>
        <w:spacing w:lineRule="auto" w:line="288" w:before="0" w:after="0"/>
        <w:jc w:val="center"/>
        <w:rPr>
          <w:rFonts w:ascii="Montserrat;sans-serif" w:hAnsi="Montserrat;sans-serif"/>
          <w:b/>
          <w:color w:val="4C5966"/>
          <w:sz w:val="20"/>
        </w:rPr>
      </w:pPr>
      <w:r>
        <w:rPr>
          <w:rFonts w:ascii="Montserrat;sans-serif" w:hAnsi="Montserrat;sans-serif"/>
          <w:b/>
          <w:color w:val="4C5966"/>
          <w:sz w:val="20"/>
        </w:rPr>
        <w:t>(in thousands)</w:t>
      </w:r>
    </w:p>
    <w:p>
      <w:pPr>
        <w:pStyle w:val="TextBody"/>
        <w:bidi w:val="0"/>
        <w:spacing w:lineRule="auto" w:line="288" w:before="0" w:after="0"/>
        <w:jc w:val="center"/>
        <w:rPr>
          <w:rFonts w:ascii="Montserrat;sans-serif" w:hAnsi="Montserrat;sans-serif"/>
          <w:b/>
          <w:color w:val="4C5966"/>
          <w:sz w:val="20"/>
        </w:rPr>
      </w:pPr>
      <w:r>
        <w:rPr>
          <w:rFonts w:ascii="Montserrat;sans-serif" w:hAnsi="Montserrat;sans-serif"/>
          <w:b/>
          <w:color w:val="4C5966"/>
          <w:sz w:val="20"/>
        </w:rPr>
        <w:t>(unaudited)</w:t>
      </w:r>
    </w:p>
    <w:tbl>
      <w:tblPr>
        <w:tblW w:w="10205" w:type="dxa"/>
        <w:jc w:val="center"/>
        <w:tblInd w:w="0" w:type="dxa"/>
        <w:tblLayout w:type="fixed"/>
        <w:tblCellMar>
          <w:top w:w="28" w:type="dxa"/>
          <w:left w:w="28" w:type="dxa"/>
          <w:bottom w:w="28" w:type="dxa"/>
          <w:right w:w="28" w:type="dxa"/>
        </w:tblCellMar>
      </w:tblPr>
      <w:tblGrid>
        <w:gridCol w:w="1604"/>
        <w:gridCol w:w="1258"/>
        <w:gridCol w:w="1260"/>
        <w:gridCol w:w="240"/>
        <w:gridCol w:w="879"/>
        <w:gridCol w:w="115"/>
        <w:gridCol w:w="115"/>
        <w:gridCol w:w="115"/>
        <w:gridCol w:w="115"/>
        <w:gridCol w:w="240"/>
        <w:gridCol w:w="879"/>
        <w:gridCol w:w="115"/>
        <w:gridCol w:w="109"/>
        <w:gridCol w:w="109"/>
        <w:gridCol w:w="109"/>
        <w:gridCol w:w="226"/>
        <w:gridCol w:w="946"/>
        <w:gridCol w:w="109"/>
        <w:gridCol w:w="109"/>
        <w:gridCol w:w="109"/>
        <w:gridCol w:w="109"/>
        <w:gridCol w:w="226"/>
        <w:gridCol w:w="946"/>
        <w:gridCol w:w="163"/>
      </w:tblGrid>
      <w:tr>
        <w:trPr/>
        <w:tc>
          <w:tcPr>
            <w:tcW w:w="1604"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4C5966"/>
                <w:sz w:val="18"/>
              </w:rPr>
            </w:pPr>
            <w:r>
              <w:rPr>
                <w:rFonts w:ascii="Montserrat;sans-serif" w:hAnsi="Montserrat;sans-serif"/>
                <w:b/>
                <w:color w:val="4C5966"/>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4C5966"/>
                <w:sz w:val="18"/>
              </w:rPr>
            </w:pPr>
            <w:r>
              <w:rPr>
                <w:rFonts w:ascii="Montserrat;sans-serif" w:hAnsi="Montserrat;sans-serif"/>
                <w:b/>
                <w:color w:val="4C5966"/>
                <w:sz w:val="18"/>
              </w:rPr>
              <w:t>Six months ended June 30,</w:t>
            </w:r>
          </w:p>
        </w:tc>
      </w:tr>
      <w:tr>
        <w:trPr/>
        <w:tc>
          <w:tcPr>
            <w:tcW w:w="4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4C5966"/>
                <w:sz w:val="18"/>
              </w:rPr>
            </w:pPr>
            <w:r>
              <w:rPr>
                <w:rFonts w:ascii="Montserrat;sans-serif" w:hAnsi="Montserrat;sans-serif"/>
                <w:b/>
                <w:color w:val="4C5966"/>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4C5966"/>
                <w:sz w:val="18"/>
              </w:rPr>
            </w:pPr>
            <w:r>
              <w:rPr>
                <w:rFonts w:ascii="Montserrat;sans-serif" w:hAnsi="Montserrat;sans-serif"/>
                <w:b/>
                <w:color w:val="4C5966"/>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4C5966"/>
                <w:sz w:val="18"/>
              </w:rPr>
            </w:pPr>
            <w:r>
              <w:rPr>
                <w:rFonts w:ascii="Montserrat;sans-serif" w:hAnsi="Montserrat;sans-serif"/>
                <w:b/>
                <w:color w:val="4C5966"/>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4C5966"/>
                <w:sz w:val="18"/>
              </w:rPr>
            </w:pPr>
            <w:r>
              <w:rPr>
                <w:rFonts w:ascii="Montserrat;sans-serif" w:hAnsi="Montserrat;sans-serif"/>
                <w:b/>
                <w:color w:val="4C5966"/>
                <w:sz w:val="18"/>
              </w:rPr>
              <w:t>2025</w:t>
            </w:r>
          </w:p>
        </w:tc>
      </w:tr>
      <w:tr>
        <w:trPr/>
        <w:tc>
          <w:tcPr>
            <w:tcW w:w="41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4C5966"/>
                <w:sz w:val="18"/>
              </w:rPr>
            </w:pPr>
            <w:r>
              <w:rPr>
                <w:rFonts w:ascii="Montserrat;sans-serif" w:hAnsi="Montserrat;sans-serif"/>
                <w:b/>
                <w:color w:val="4C5966"/>
                <w:sz w:val="18"/>
              </w:rPr>
              <w:t>Cost of revenue (exclusive of depreciation and amortization expenses)</w:t>
            </w:r>
          </w:p>
        </w:tc>
        <w:tc>
          <w:tcPr>
            <w:tcW w:w="240"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8"/>
              </w:rPr>
            </w:pPr>
            <w:r>
              <w:rPr>
                <w:rFonts w:ascii="Montserrat;sans-serif" w:hAnsi="Montserrat;sans-serif"/>
                <w:b w:val="false"/>
                <w:color w:val="4C5966"/>
                <w:sz w:val="18"/>
              </w:rPr>
              <w:t>$</w:t>
            </w:r>
          </w:p>
        </w:tc>
        <w:tc>
          <w:tcPr>
            <w:tcW w:w="879"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97,686 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8"/>
              </w:rPr>
            </w:pPr>
            <w:r>
              <w:rPr>
                <w:rFonts w:ascii="Montserrat;sans-serif" w:hAnsi="Montserrat;sans-serif"/>
                <w:b w:val="false"/>
                <w:color w:val="4C5966"/>
                <w:sz w:val="18"/>
              </w:rPr>
              <w:t>$</w:t>
            </w:r>
          </w:p>
        </w:tc>
        <w:tc>
          <w:tcPr>
            <w:tcW w:w="879"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87,044 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8"/>
              </w:rPr>
            </w:pPr>
            <w:r>
              <w:rPr>
                <w:rFonts w:ascii="Montserrat;sans-serif" w:hAnsi="Montserrat;sans-serif"/>
                <w:b w:val="false"/>
                <w:color w:val="4C5966"/>
                <w:sz w:val="18"/>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194,721 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8"/>
              </w:rPr>
            </w:pPr>
            <w:r>
              <w:rPr>
                <w:rFonts w:ascii="Montserrat;sans-serif" w:hAnsi="Montserrat;sans-serif"/>
                <w:b w:val="false"/>
                <w:color w:val="4C5966"/>
                <w:sz w:val="18"/>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170,389 </w:t>
            </w:r>
          </w:p>
        </w:tc>
        <w:tc>
          <w:tcPr>
            <w:tcW w:w="16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8"/>
              </w:rPr>
            </w:pPr>
            <w:r>
              <w:rPr>
                <w:rFonts w:ascii="Montserrat;sans-serif" w:hAnsi="Montserrat;sans-serif"/>
                <w:b w:val="false"/>
                <w:color w:val="4C5966"/>
                <w:sz w:val="18"/>
              </w:rPr>
              <w:t>Less Stock-based compensation expense</w:t>
            </w:r>
          </w:p>
        </w:tc>
        <w:tc>
          <w:tcPr>
            <w:tcW w:w="11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(594)</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(415)</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(1,029)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(646)</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8"/>
              </w:rPr>
            </w:pPr>
            <w:r>
              <w:rPr>
                <w:rFonts w:ascii="Montserrat;sans-serif" w:hAnsi="Montserrat;sans-serif"/>
                <w:b w:val="false"/>
                <w:color w:val="4C5966"/>
                <w:sz w:val="18"/>
              </w:rPr>
              <w:t>Less Acquisition and integration costs</w:t>
            </w:r>
          </w:p>
        </w:tc>
        <w:tc>
          <w:tcPr>
            <w:tcW w:w="11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(1,110)</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(2,255)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4122"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41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4C5966"/>
                <w:sz w:val="18"/>
              </w:rPr>
            </w:pPr>
            <w:r>
              <w:rPr>
                <w:rFonts w:ascii="Montserrat;sans-serif" w:hAnsi="Montserrat;sans-serif"/>
                <w:b/>
                <w:color w:val="4C5966"/>
                <w:sz w:val="18"/>
              </w:rPr>
              <w:t>Cost of revenue (exclusive of depreciation and amortization expenses), adjusted</w:t>
            </w:r>
          </w:p>
        </w:tc>
        <w:tc>
          <w:tcPr>
            <w:tcW w:w="240"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8"/>
              </w:rPr>
            </w:pPr>
            <w:r>
              <w:rPr>
                <w:rFonts w:ascii="Montserrat;sans-serif" w:hAnsi="Montserrat;sans-serif"/>
                <w:b w:val="false"/>
                <w:color w:val="4C5966"/>
                <w:sz w:val="18"/>
              </w:rPr>
              <w:t>$</w:t>
            </w:r>
          </w:p>
        </w:tc>
        <w:tc>
          <w:tcPr>
            <w:tcW w:w="879"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95,982 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8"/>
              </w:rPr>
            </w:pPr>
            <w:r>
              <w:rPr>
                <w:rFonts w:ascii="Montserrat;sans-serif" w:hAnsi="Montserrat;sans-serif"/>
                <w:b w:val="false"/>
                <w:color w:val="4C5966"/>
                <w:sz w:val="18"/>
              </w:rPr>
              <w:t>$</w:t>
            </w:r>
          </w:p>
        </w:tc>
        <w:tc>
          <w:tcPr>
            <w:tcW w:w="879"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86,629 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8"/>
              </w:rPr>
            </w:pPr>
            <w:r>
              <w:rPr>
                <w:rFonts w:ascii="Montserrat;sans-serif" w:hAnsi="Montserrat;sans-serif"/>
                <w:b w:val="false"/>
                <w:color w:val="4C5966"/>
                <w:sz w:val="18"/>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191,437 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8"/>
              </w:rPr>
            </w:pPr>
            <w:r>
              <w:rPr>
                <w:rFonts w:ascii="Montserrat;sans-serif" w:hAnsi="Montserrat;sans-serif"/>
                <w:b w:val="false"/>
                <w:color w:val="4C5966"/>
                <w:sz w:val="18"/>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169,743 </w:t>
            </w:r>
          </w:p>
        </w:tc>
        <w:tc>
          <w:tcPr>
            <w:tcW w:w="16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4C5966"/>
                <w:sz w:val="18"/>
              </w:rPr>
            </w:pPr>
            <w:r>
              <w:rPr>
                <w:rFonts w:ascii="Montserrat;sans-serif" w:hAnsi="Montserrat;sans-serif"/>
                <w:b/>
                <w:color w:val="4C5966"/>
                <w:sz w:val="18"/>
              </w:rPr>
              <w:t>Sales and marketing</w:t>
            </w:r>
          </w:p>
        </w:tc>
        <w:tc>
          <w:tcPr>
            <w:tcW w:w="11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50,379 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43,524 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96,209 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83,647 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8"/>
              </w:rPr>
            </w:pPr>
            <w:r>
              <w:rPr>
                <w:rFonts w:ascii="Montserrat;sans-serif" w:hAnsi="Montserrat;sans-serif"/>
                <w:b w:val="false"/>
                <w:color w:val="4C5966"/>
                <w:sz w:val="18"/>
              </w:rPr>
              <w:t>Add/(Less) Stock-based compensation expense</w:t>
            </w:r>
          </w:p>
        </w:tc>
        <w:tc>
          <w:tcPr>
            <w:tcW w:w="11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(2,738)</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(2,414)</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(2,347)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(3,806)</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8"/>
              </w:rPr>
            </w:pPr>
            <w:r>
              <w:rPr>
                <w:rFonts w:ascii="Montserrat;sans-serif" w:hAnsi="Montserrat;sans-serif"/>
                <w:b w:val="false"/>
                <w:color w:val="4C5966"/>
                <w:sz w:val="18"/>
              </w:rPr>
              <w:t>Add/(Less) Acquisition and integration costs</w:t>
            </w:r>
          </w:p>
        </w:tc>
        <w:tc>
          <w:tcPr>
            <w:tcW w:w="11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21 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41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8"/>
              </w:rPr>
            </w:pPr>
            <w:r>
              <w:rPr>
                <w:rFonts w:ascii="Montserrat;sans-serif" w:hAnsi="Montserrat;sans-serif"/>
                <w:b w:val="false"/>
                <w:color w:val="4C5966"/>
                <w:sz w:val="18"/>
              </w:rPr>
              <w:t>Less Other (a)</w:t>
            </w:r>
          </w:p>
        </w:tc>
        <w:tc>
          <w:tcPr>
            <w:tcW w:w="11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(100)</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(100)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4C5966"/>
                <w:sz w:val="18"/>
              </w:rPr>
            </w:pPr>
            <w:r>
              <w:rPr>
                <w:rFonts w:ascii="Montserrat;sans-serif" w:hAnsi="Montserrat;sans-serif"/>
                <w:b/>
                <w:color w:val="4C5966"/>
                <w:sz w:val="18"/>
              </w:rPr>
              <w:t>Sales and marketing, adjusted</w:t>
            </w:r>
          </w:p>
        </w:tc>
        <w:tc>
          <w:tcPr>
            <w:tcW w:w="240"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8"/>
              </w:rPr>
            </w:pPr>
            <w:r>
              <w:rPr>
                <w:rFonts w:ascii="Montserrat;sans-serif" w:hAnsi="Montserrat;sans-serif"/>
                <w:b w:val="false"/>
                <w:color w:val="4C5966"/>
                <w:sz w:val="18"/>
              </w:rPr>
              <w:t>$</w:t>
            </w:r>
          </w:p>
        </w:tc>
        <w:tc>
          <w:tcPr>
            <w:tcW w:w="879"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47,562 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8"/>
              </w:rPr>
            </w:pPr>
            <w:r>
              <w:rPr>
                <w:rFonts w:ascii="Montserrat;sans-serif" w:hAnsi="Montserrat;sans-serif"/>
                <w:b w:val="false"/>
                <w:color w:val="4C5966"/>
                <w:sz w:val="18"/>
              </w:rPr>
              <w:t>$</w:t>
            </w:r>
          </w:p>
        </w:tc>
        <w:tc>
          <w:tcPr>
            <w:tcW w:w="879"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41,110 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8"/>
              </w:rPr>
            </w:pPr>
            <w:r>
              <w:rPr>
                <w:rFonts w:ascii="Montserrat;sans-serif" w:hAnsi="Montserrat;sans-serif"/>
                <w:b w:val="false"/>
                <w:color w:val="4C5966"/>
                <w:sz w:val="18"/>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93,816 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8"/>
              </w:rPr>
            </w:pPr>
            <w:r>
              <w:rPr>
                <w:rFonts w:ascii="Montserrat;sans-serif" w:hAnsi="Montserrat;sans-serif"/>
                <w:b w:val="false"/>
                <w:color w:val="4C5966"/>
                <w:sz w:val="18"/>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79,841 </w:t>
            </w:r>
          </w:p>
        </w:tc>
        <w:tc>
          <w:tcPr>
            <w:tcW w:w="16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4C5966"/>
                <w:sz w:val="18"/>
              </w:rPr>
            </w:pPr>
            <w:r>
              <w:rPr>
                <w:rFonts w:ascii="Montserrat;sans-serif" w:hAnsi="Montserrat;sans-serif"/>
                <w:b/>
                <w:color w:val="4C5966"/>
                <w:sz w:val="18"/>
              </w:rPr>
              <w:t>General and administrative</w:t>
            </w:r>
          </w:p>
        </w:tc>
        <w:tc>
          <w:tcPr>
            <w:tcW w:w="11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36,378 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29,192 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67,102 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52,492 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8"/>
              </w:rPr>
            </w:pPr>
            <w:r>
              <w:rPr>
                <w:rFonts w:ascii="Montserrat;sans-serif" w:hAnsi="Montserrat;sans-serif"/>
                <w:b w:val="false"/>
                <w:color w:val="4C5966"/>
                <w:sz w:val="18"/>
              </w:rPr>
              <w:t>Less Stock-based compensation expense</w:t>
            </w:r>
          </w:p>
        </w:tc>
        <w:tc>
          <w:tcPr>
            <w:tcW w:w="11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(9,565)</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(7,094)</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(18,317)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(11,200)</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8"/>
              </w:rPr>
            </w:pPr>
            <w:r>
              <w:rPr>
                <w:rFonts w:ascii="Montserrat;sans-serif" w:hAnsi="Montserrat;sans-serif"/>
                <w:b w:val="false"/>
                <w:color w:val="4C5966"/>
                <w:sz w:val="18"/>
              </w:rPr>
              <w:t>Less Acquisition and integration costs</w:t>
            </w:r>
          </w:p>
        </w:tc>
        <w:tc>
          <w:tcPr>
            <w:tcW w:w="11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(659)</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(552)</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(1,197)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(659)</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8"/>
              </w:rPr>
            </w:pPr>
            <w:r>
              <w:rPr>
                <w:rFonts w:ascii="Montserrat;sans-serif" w:hAnsi="Montserrat;sans-serif"/>
                <w:b w:val="false"/>
                <w:color w:val="4C5966"/>
                <w:sz w:val="18"/>
              </w:rPr>
              <w:t>Less Asset and lease impairments</w:t>
            </w:r>
          </w:p>
        </w:tc>
        <w:tc>
          <w:tcPr>
            <w:tcW w:w="11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(1,990)</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(1,990)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8"/>
              </w:rPr>
            </w:pPr>
            <w:r>
              <w:rPr>
                <w:rFonts w:ascii="Montserrat;sans-serif" w:hAnsi="Montserrat;sans-serif"/>
                <w:b w:val="false"/>
                <w:color w:val="4C5966"/>
                <w:sz w:val="18"/>
              </w:rPr>
              <w:t>Less Costs related to amended debt agreements</w:t>
            </w:r>
          </w:p>
        </w:tc>
        <w:tc>
          <w:tcPr>
            <w:tcW w:w="11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(227)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8"/>
              </w:rPr>
            </w:pPr>
            <w:r>
              <w:rPr>
                <w:rFonts w:ascii="Montserrat;sans-serif" w:hAnsi="Montserrat;sans-serif"/>
                <w:b w:val="false"/>
                <w:color w:val="4C5966"/>
                <w:sz w:val="18"/>
              </w:rPr>
              <w:t>Less IPO and Secondary Offering expenses</w:t>
            </w:r>
          </w:p>
        </w:tc>
        <w:tc>
          <w:tcPr>
            <w:tcW w:w="11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(5)</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(1,769)</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(3,199)</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8"/>
              </w:rPr>
            </w:pPr>
            <w:r>
              <w:rPr>
                <w:rFonts w:ascii="Montserrat;sans-serif" w:hAnsi="Montserrat;sans-serif"/>
                <w:b w:val="false"/>
                <w:color w:val="4C5966"/>
                <w:sz w:val="18"/>
              </w:rPr>
              <w:t>Less Other (a)</w:t>
            </w:r>
          </w:p>
        </w:tc>
        <w:tc>
          <w:tcPr>
            <w:tcW w:w="11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(1,518)</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(326)</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(1,518)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(1,080)</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4C5966"/>
                <w:sz w:val="18"/>
              </w:rPr>
            </w:pPr>
            <w:r>
              <w:rPr>
                <w:rFonts w:ascii="Montserrat;sans-serif" w:hAnsi="Montserrat;sans-serif"/>
                <w:b/>
                <w:color w:val="4C5966"/>
                <w:sz w:val="18"/>
              </w:rPr>
              <w:t>General and administrative, adjusted</w:t>
            </w:r>
          </w:p>
        </w:tc>
        <w:tc>
          <w:tcPr>
            <w:tcW w:w="240"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8"/>
              </w:rPr>
            </w:pPr>
            <w:r>
              <w:rPr>
                <w:rFonts w:ascii="Montserrat;sans-serif" w:hAnsi="Montserrat;sans-serif"/>
                <w:b w:val="false"/>
                <w:color w:val="4C5966"/>
                <w:sz w:val="18"/>
              </w:rPr>
              <w:t>$</w:t>
            </w:r>
          </w:p>
        </w:tc>
        <w:tc>
          <w:tcPr>
            <w:tcW w:w="879"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22,641 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8"/>
              </w:rPr>
            </w:pPr>
            <w:r>
              <w:rPr>
                <w:rFonts w:ascii="Montserrat;sans-serif" w:hAnsi="Montserrat;sans-serif"/>
                <w:b w:val="false"/>
                <w:color w:val="4C5966"/>
                <w:sz w:val="18"/>
              </w:rPr>
              <w:t>$</w:t>
            </w:r>
          </w:p>
        </w:tc>
        <w:tc>
          <w:tcPr>
            <w:tcW w:w="879"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19,451 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8"/>
              </w:rPr>
            </w:pPr>
            <w:r>
              <w:rPr>
                <w:rFonts w:ascii="Montserrat;sans-serif" w:hAnsi="Montserrat;sans-serif"/>
                <w:b w:val="false"/>
                <w:color w:val="4C5966"/>
                <w:sz w:val="18"/>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43,841 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8"/>
              </w:rPr>
            </w:pPr>
            <w:r>
              <w:rPr>
                <w:rFonts w:ascii="Montserrat;sans-serif" w:hAnsi="Montserrat;sans-serif"/>
                <w:b w:val="false"/>
                <w:color w:val="4C5966"/>
                <w:sz w:val="18"/>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36,354 </w:t>
            </w:r>
          </w:p>
        </w:tc>
        <w:tc>
          <w:tcPr>
            <w:tcW w:w="16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4C5966"/>
                <w:sz w:val="18"/>
              </w:rPr>
            </w:pPr>
            <w:r>
              <w:rPr>
                <w:rFonts w:ascii="Montserrat;sans-serif" w:hAnsi="Montserrat;sans-serif"/>
                <w:b/>
                <w:color w:val="4C5966"/>
                <w:sz w:val="18"/>
              </w:rPr>
              <w:t>Research and development</w:t>
            </w:r>
          </w:p>
        </w:tc>
        <w:tc>
          <w:tcPr>
            <w:tcW w:w="11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17,723 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12,622 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36,091 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23,700 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8"/>
              </w:rPr>
            </w:pPr>
            <w:r>
              <w:rPr>
                <w:rFonts w:ascii="Montserrat;sans-serif" w:hAnsi="Montserrat;sans-serif"/>
                <w:b w:val="false"/>
                <w:color w:val="4C5966"/>
                <w:sz w:val="18"/>
              </w:rPr>
              <w:t>Less Stock-based compensation expense</w:t>
            </w:r>
          </w:p>
        </w:tc>
        <w:tc>
          <w:tcPr>
            <w:tcW w:w="11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(906)</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(1,607)</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(3,556)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(2,622)</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8"/>
              </w:rPr>
            </w:pPr>
            <w:r>
              <w:rPr>
                <w:rFonts w:ascii="Montserrat;sans-serif" w:hAnsi="Montserrat;sans-serif"/>
                <w:b w:val="false"/>
                <w:color w:val="4C5966"/>
                <w:sz w:val="18"/>
              </w:rPr>
              <w:t>Less Acquisition and integration costs</w:t>
            </w:r>
          </w:p>
        </w:tc>
        <w:tc>
          <w:tcPr>
            <w:tcW w:w="11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(53)</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(103)</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(209)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(225)</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41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4C5966"/>
                <w:sz w:val="18"/>
              </w:rPr>
            </w:pPr>
            <w:r>
              <w:rPr>
                <w:rFonts w:ascii="Montserrat;sans-serif" w:hAnsi="Montserrat;sans-serif"/>
                <w:b/>
                <w:color w:val="4C5966"/>
                <w:sz w:val="18"/>
              </w:rPr>
              <w:t>Research and development, adjusted</w:t>
            </w:r>
          </w:p>
        </w:tc>
        <w:tc>
          <w:tcPr>
            <w:tcW w:w="240"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8"/>
              </w:rPr>
            </w:pPr>
            <w:r>
              <w:rPr>
                <w:rFonts w:ascii="Montserrat;sans-serif" w:hAnsi="Montserrat;sans-serif"/>
                <w:b w:val="false"/>
                <w:color w:val="4C5966"/>
                <w:sz w:val="18"/>
              </w:rPr>
              <w:t>$</w:t>
            </w:r>
          </w:p>
        </w:tc>
        <w:tc>
          <w:tcPr>
            <w:tcW w:w="879"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16,764 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8"/>
              </w:rPr>
            </w:pPr>
            <w:r>
              <w:rPr>
                <w:rFonts w:ascii="Montserrat;sans-serif" w:hAnsi="Montserrat;sans-serif"/>
                <w:b w:val="false"/>
                <w:color w:val="4C5966"/>
                <w:sz w:val="18"/>
              </w:rPr>
              <w:t>$</w:t>
            </w:r>
          </w:p>
        </w:tc>
        <w:tc>
          <w:tcPr>
            <w:tcW w:w="879"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10,912 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8"/>
              </w:rPr>
            </w:pPr>
            <w:r>
              <w:rPr>
                <w:rFonts w:ascii="Montserrat;sans-serif" w:hAnsi="Montserrat;sans-serif"/>
                <w:b w:val="false"/>
                <w:color w:val="4C5966"/>
                <w:sz w:val="18"/>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32,326 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8"/>
              </w:rPr>
            </w:pPr>
            <w:r>
              <w:rPr>
                <w:rFonts w:ascii="Montserrat;sans-serif" w:hAnsi="Montserrat;sans-serif"/>
                <w:b w:val="false"/>
                <w:color w:val="4C5966"/>
                <w:sz w:val="18"/>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20,853 </w:t>
            </w:r>
          </w:p>
        </w:tc>
        <w:tc>
          <w:tcPr>
            <w:tcW w:w="16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4C5966"/>
                <w:sz w:val="18"/>
              </w:rPr>
            </w:pPr>
            <w:r>
              <w:rPr>
                <w:rFonts w:ascii="Montserrat;sans-serif" w:hAnsi="Montserrat;sans-serif"/>
                <w:b/>
                <w:color w:val="4C5966"/>
                <w:sz w:val="18"/>
              </w:rPr>
              <w:t>Depreciation and amortization</w:t>
            </w:r>
          </w:p>
        </w:tc>
        <w:tc>
          <w:tcPr>
            <w:tcW w:w="11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41,466 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33,426 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82,918 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66,806 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41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8"/>
              </w:rPr>
            </w:pPr>
            <w:r>
              <w:rPr>
                <w:rFonts w:ascii="Montserrat;sans-serif" w:hAnsi="Montserrat;sans-serif"/>
                <w:b w:val="false"/>
                <w:color w:val="4C5966"/>
                <w:sz w:val="18"/>
              </w:rPr>
              <w:t>Less Intangible amortization</w:t>
            </w:r>
          </w:p>
        </w:tc>
        <w:tc>
          <w:tcPr>
            <w:tcW w:w="11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(34,474)</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(28,115)</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(68,948)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(56,230)</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4C5966"/>
                <w:sz w:val="18"/>
              </w:rPr>
            </w:pPr>
            <w:r>
              <w:rPr>
                <w:rFonts w:ascii="Montserrat;sans-serif" w:hAnsi="Montserrat;sans-serif"/>
                <w:b/>
                <w:color w:val="4C5966"/>
                <w:sz w:val="18"/>
              </w:rPr>
              <w:t>Depreciation and amortization, adjusted</w:t>
            </w:r>
          </w:p>
        </w:tc>
        <w:tc>
          <w:tcPr>
            <w:tcW w:w="240"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8"/>
              </w:rPr>
            </w:pPr>
            <w:r>
              <w:rPr>
                <w:rFonts w:ascii="Montserrat;sans-serif" w:hAnsi="Montserrat;sans-serif"/>
                <w:b w:val="false"/>
                <w:color w:val="4C5966"/>
                <w:sz w:val="18"/>
              </w:rPr>
              <w:t>$</w:t>
            </w:r>
          </w:p>
        </w:tc>
        <w:tc>
          <w:tcPr>
            <w:tcW w:w="879"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6,992 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8"/>
              </w:rPr>
            </w:pPr>
            <w:r>
              <w:rPr>
                <w:rFonts w:ascii="Montserrat;sans-serif" w:hAnsi="Montserrat;sans-serif"/>
                <w:b w:val="false"/>
                <w:color w:val="4C5966"/>
                <w:sz w:val="18"/>
              </w:rPr>
              <w:t>$</w:t>
            </w:r>
          </w:p>
        </w:tc>
        <w:tc>
          <w:tcPr>
            <w:tcW w:w="879"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5,311 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8"/>
              </w:rPr>
            </w:pPr>
            <w:r>
              <w:rPr>
                <w:rFonts w:ascii="Montserrat;sans-serif" w:hAnsi="Montserrat;sans-serif"/>
                <w:b w:val="false"/>
                <w:color w:val="4C5966"/>
                <w:sz w:val="18"/>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13,970 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8"/>
              </w:rPr>
            </w:pPr>
            <w:r>
              <w:rPr>
                <w:rFonts w:ascii="Montserrat;sans-serif" w:hAnsi="Montserrat;sans-serif"/>
                <w:b w:val="false"/>
                <w:color w:val="4C5966"/>
                <w:sz w:val="18"/>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10,576 </w:t>
            </w:r>
          </w:p>
        </w:tc>
        <w:tc>
          <w:tcPr>
            <w:tcW w:w="16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4C5966"/>
                <w:sz w:val="18"/>
              </w:rPr>
            </w:pPr>
            <w:r>
              <w:rPr>
                <w:rFonts w:ascii="Montserrat;sans-serif" w:hAnsi="Montserrat;sans-serif"/>
                <w:b/>
                <w:color w:val="4C5966"/>
                <w:sz w:val="18"/>
              </w:rPr>
              <w:t>Income tax expense</w:t>
            </w:r>
          </w:p>
        </w:tc>
        <w:tc>
          <w:tcPr>
            <w:tcW w:w="11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15,529 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14,407 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32,064 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31,447 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18"/>
              </w:rPr>
            </w:pPr>
            <w:r>
              <w:rPr>
                <w:rFonts w:ascii="Montserrat;sans-serif" w:hAnsi="Montserrat;sans-serif"/>
                <w:b w:val="false"/>
                <w:color w:val="4C5966"/>
                <w:sz w:val="18"/>
              </w:rPr>
              <w:t>Plus Tax effect of adjustments</w:t>
            </w:r>
          </w:p>
        </w:tc>
        <w:tc>
          <w:tcPr>
            <w:tcW w:w="11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11,275 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8,903 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21,347 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16,730 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4C5966"/>
                <w:sz w:val="18"/>
              </w:rPr>
            </w:pPr>
            <w:r>
              <w:rPr>
                <w:rFonts w:ascii="Montserrat;sans-serif" w:hAnsi="Montserrat;sans-serif"/>
                <w:b/>
                <w:color w:val="4C5966"/>
                <w:sz w:val="18"/>
              </w:rPr>
              <w:t>Income tax expense, adjusted</w:t>
            </w:r>
          </w:p>
        </w:tc>
        <w:tc>
          <w:tcPr>
            <w:tcW w:w="24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4C5966"/>
                <w:sz w:val="18"/>
              </w:rPr>
            </w:pPr>
            <w:r>
              <w:rPr>
                <w:rFonts w:ascii="Montserrat;sans-serif" w:hAnsi="Montserrat;sans-serif"/>
                <w:b w:val="false"/>
                <w:color w:val="4C5966"/>
                <w:sz w:val="18"/>
              </w:rPr>
              <w:t>$</w:t>
            </w:r>
          </w:p>
        </w:tc>
        <w:tc>
          <w:tcPr>
            <w:tcW w:w="87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26,804 </w:t>
            </w:r>
          </w:p>
        </w:tc>
        <w:tc>
          <w:tcPr>
            <w:tcW w:w="11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4C5966"/>
                <w:sz w:val="18"/>
              </w:rPr>
            </w:pPr>
            <w:r>
              <w:rPr>
                <w:rFonts w:ascii="Montserrat;sans-serif" w:hAnsi="Montserrat;sans-serif"/>
                <w:b w:val="false"/>
                <w:color w:val="4C5966"/>
                <w:sz w:val="18"/>
              </w:rPr>
              <w:t>$</w:t>
            </w:r>
          </w:p>
        </w:tc>
        <w:tc>
          <w:tcPr>
            <w:tcW w:w="87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23,310 </w:t>
            </w:r>
          </w:p>
        </w:tc>
        <w:tc>
          <w:tcPr>
            <w:tcW w:w="11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4C5966"/>
                <w:sz w:val="18"/>
              </w:rPr>
            </w:pPr>
            <w:r>
              <w:rPr>
                <w:rFonts w:ascii="Montserrat;sans-serif" w:hAnsi="Montserrat;sans-serif"/>
                <w:b w:val="false"/>
                <w:color w:val="4C5966"/>
                <w:sz w:val="18"/>
              </w:rPr>
              <w:t>$</w:t>
            </w:r>
          </w:p>
        </w:tc>
        <w:tc>
          <w:tcPr>
            <w:tcW w:w="9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53,411 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4C5966"/>
                <w:sz w:val="18"/>
              </w:rPr>
            </w:pPr>
            <w:r>
              <w:rPr>
                <w:rFonts w:ascii="Montserrat;sans-serif" w:hAnsi="Montserrat;sans-serif"/>
                <w:b w:val="false"/>
                <w:color w:val="4C5966"/>
                <w:sz w:val="18"/>
              </w:rPr>
              <w:t>$</w:t>
            </w:r>
          </w:p>
        </w:tc>
        <w:tc>
          <w:tcPr>
            <w:tcW w:w="9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4C5966"/>
                <w:sz w:val="18"/>
              </w:rPr>
            </w:pPr>
            <w:r>
              <w:rPr>
                <w:rFonts w:ascii="Montserrat;sans-serif" w:hAnsi="Montserrat;sans-serif"/>
                <w:b w:val="false"/>
                <w:color w:val="4C5966"/>
                <w:sz w:val="18"/>
              </w:rPr>
              <w:t>48,177 </w:t>
            </w:r>
          </w:p>
        </w:tc>
        <w:tc>
          <w:tcPr>
            <w:tcW w:w="16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Montserrat;sans-serif" w:hAnsi="Montserrat;sans-serif"/>
          <w:b w:val="false"/>
          <w:color w:val="4C5966"/>
          <w:sz w:val="16"/>
        </w:rPr>
      </w:pPr>
      <w:r>
        <w:rPr>
          <w:rFonts w:ascii="Montserrat;sans-serif" w:hAnsi="Montserrat;sans-serif"/>
          <w:b w:val="false"/>
          <w:color w:val="4C5966"/>
          <w:sz w:val="16"/>
        </w:rPr>
        <w:t>(a)For the three and six months ended June 30, 2026, adjustments reflect costs associated with a cybersecurity incident (see Item 1A of our Form 10-Q). For the three and six months ended June 30, 2025, adjustments include lease-related costs associated with the relocation of our Louisville office totaling $0.2 million and $0.4 million, respectively, and executive severance costs totaling $0.0 million and $0.5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Montserrat;sans-serif" w:hAnsi="Montserrat;sans-serif"/>
          <w:b/>
          <w:color w:val="4C5966"/>
          <w:sz w:val="20"/>
        </w:rPr>
      </w:pPr>
      <w:r>
        <w:rPr>
          <w:rFonts w:ascii="Montserrat;sans-serif" w:hAnsi="Montserrat;sans-serif"/>
          <w:b/>
          <w:color w:val="4C5966"/>
          <w:sz w:val="20"/>
        </w:rPr>
        <w:t>Waystar</w:t>
      </w:r>
    </w:p>
    <w:p>
      <w:pPr>
        <w:pStyle w:val="TextBody"/>
        <w:bidi w:val="0"/>
        <w:spacing w:lineRule="auto" w:line="288" w:before="0" w:after="0"/>
        <w:jc w:val="center"/>
        <w:rPr>
          <w:rFonts w:ascii="Montserrat;sans-serif" w:hAnsi="Montserrat;sans-serif"/>
          <w:b/>
          <w:color w:val="4C5966"/>
          <w:sz w:val="20"/>
        </w:rPr>
      </w:pPr>
      <w:r>
        <w:rPr>
          <w:rFonts w:ascii="Montserrat;sans-serif" w:hAnsi="Montserrat;sans-serif"/>
          <w:b/>
          <w:color w:val="4C5966"/>
          <w:sz w:val="20"/>
        </w:rPr>
        <w:t xml:space="preserve">Reconciliation of Non-GAAP Net Income </w:t>
      </w:r>
    </w:p>
    <w:p>
      <w:pPr>
        <w:pStyle w:val="TextBody"/>
        <w:bidi w:val="0"/>
        <w:spacing w:lineRule="auto" w:line="288" w:before="0" w:after="0"/>
        <w:jc w:val="center"/>
        <w:rPr>
          <w:rFonts w:ascii="Montserrat;sans-serif" w:hAnsi="Montserrat;sans-serif"/>
          <w:b/>
          <w:color w:val="4C5966"/>
          <w:sz w:val="20"/>
        </w:rPr>
      </w:pPr>
      <w:r>
        <w:rPr>
          <w:rFonts w:ascii="Montserrat;sans-serif" w:hAnsi="Montserrat;sans-serif"/>
          <w:b/>
          <w:color w:val="4C5966"/>
          <w:sz w:val="20"/>
        </w:rPr>
        <w:t xml:space="preserve">(in thousands, except share and per share amounts) </w:t>
      </w:r>
    </w:p>
    <w:p>
      <w:pPr>
        <w:pStyle w:val="TextBody"/>
        <w:bidi w:val="0"/>
        <w:spacing w:lineRule="auto" w:line="288" w:before="0" w:after="240"/>
        <w:jc w:val="center"/>
        <w:rPr>
          <w:rFonts w:ascii="Montserrat;sans-serif" w:hAnsi="Montserrat;sans-serif"/>
          <w:b/>
          <w:color w:val="4C5966"/>
          <w:sz w:val="20"/>
        </w:rPr>
      </w:pPr>
      <w:r>
        <w:rPr>
          <w:rFonts w:ascii="Montserrat;sans-serif" w:hAnsi="Montserrat;sans-serif"/>
          <w:b/>
          <w:color w:val="4C5966"/>
          <w:sz w:val="20"/>
        </w:rPr>
        <w:t xml:space="preserve">(unaudited) </w:t>
      </w:r>
    </w:p>
    <w:tbl>
      <w:tblPr>
        <w:tblW w:w="10205" w:type="dxa"/>
        <w:jc w:val="left"/>
        <w:tblInd w:w="0" w:type="dxa"/>
        <w:tblLayout w:type="fixed"/>
        <w:tblCellMar>
          <w:top w:w="28" w:type="dxa"/>
          <w:left w:w="28" w:type="dxa"/>
          <w:bottom w:w="28" w:type="dxa"/>
          <w:right w:w="28" w:type="dxa"/>
        </w:tblCellMar>
      </w:tblPr>
      <w:tblGrid>
        <w:gridCol w:w="1258"/>
        <w:gridCol w:w="865"/>
        <w:gridCol w:w="763"/>
        <w:gridCol w:w="109"/>
        <w:gridCol w:w="109"/>
        <w:gridCol w:w="109"/>
        <w:gridCol w:w="293"/>
        <w:gridCol w:w="1073"/>
        <w:gridCol w:w="119"/>
        <w:gridCol w:w="119"/>
        <w:gridCol w:w="119"/>
        <w:gridCol w:w="119"/>
        <w:gridCol w:w="293"/>
        <w:gridCol w:w="1073"/>
        <w:gridCol w:w="119"/>
        <w:gridCol w:w="109"/>
        <w:gridCol w:w="109"/>
        <w:gridCol w:w="109"/>
        <w:gridCol w:w="263"/>
        <w:gridCol w:w="1103"/>
        <w:gridCol w:w="110"/>
        <w:gridCol w:w="110"/>
        <w:gridCol w:w="110"/>
        <w:gridCol w:w="110"/>
        <w:gridCol w:w="263"/>
        <w:gridCol w:w="1103"/>
        <w:gridCol w:w="166"/>
      </w:tblGrid>
      <w:tr>
        <w:trPr/>
        <w:tc>
          <w:tcPr>
            <w:tcW w:w="125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4C5966"/>
                <w:sz w:val="20"/>
              </w:rPr>
            </w:pPr>
            <w:r>
              <w:rPr>
                <w:rFonts w:ascii="Montserrat;sans-serif" w:hAnsi="Montserrat;sans-serif"/>
                <w:b/>
                <w:color w:val="4C5966"/>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4C5966"/>
                <w:sz w:val="20"/>
              </w:rPr>
            </w:pPr>
            <w:r>
              <w:rPr>
                <w:rFonts w:ascii="Montserrat;sans-serif" w:hAnsi="Montserrat;sans-serif"/>
                <w:b/>
                <w:color w:val="4C5966"/>
                <w:sz w:val="20"/>
              </w:rPr>
              <w:t>Six months ended June 30,</w:t>
            </w:r>
          </w:p>
        </w:tc>
      </w:tr>
      <w:tr>
        <w:trPr/>
        <w:tc>
          <w:tcPr>
            <w:tcW w:w="2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4C5966"/>
                <w:sz w:val="20"/>
              </w:rPr>
            </w:pPr>
            <w:r>
              <w:rPr>
                <w:rFonts w:ascii="Montserrat;sans-serif" w:hAnsi="Montserrat;sans-serif"/>
                <w:b w:val="false"/>
                <w:color w:val="4C5966"/>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4C5966"/>
                <w:sz w:val="20"/>
              </w:rPr>
            </w:pPr>
            <w:r>
              <w:rPr>
                <w:rFonts w:ascii="Montserrat;sans-serif" w:hAnsi="Montserrat;sans-serif"/>
                <w:b/>
                <w:color w:val="4C5966"/>
                <w:sz w:val="20"/>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4C5966"/>
                <w:sz w:val="20"/>
              </w:rPr>
            </w:pPr>
            <w:r>
              <w:rPr>
                <w:rFonts w:ascii="Montserrat;sans-serif" w:hAnsi="Montserrat;sans-serif"/>
                <w:b/>
                <w:color w:val="4C5966"/>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4C5966"/>
                <w:sz w:val="20"/>
              </w:rPr>
            </w:pPr>
            <w:r>
              <w:rPr>
                <w:rFonts w:ascii="Montserrat;sans-serif" w:hAnsi="Montserrat;sans-serif"/>
                <w:b/>
                <w:color w:val="4C5966"/>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4C5966"/>
                <w:sz w:val="20"/>
              </w:rPr>
            </w:pPr>
            <w:r>
              <w:rPr>
                <w:rFonts w:ascii="Montserrat;sans-serif" w:hAnsi="Montserrat;sans-serif"/>
                <w:b/>
                <w:color w:val="4C5966"/>
                <w:sz w:val="20"/>
              </w:rPr>
              <w:t>2025</w:t>
            </w:r>
          </w:p>
        </w:tc>
      </w:tr>
      <w:tr>
        <w:trPr/>
        <w:tc>
          <w:tcPr>
            <w:tcW w:w="2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4C5966"/>
                <w:sz w:val="20"/>
              </w:rPr>
            </w:pPr>
            <w:r>
              <w:rPr>
                <w:rFonts w:ascii="Montserrat;sans-serif" w:hAnsi="Montserrat;sans-serif"/>
                <w:b w:val="false"/>
                <w:color w:val="4C5966"/>
                <w:sz w:val="20"/>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4C5966"/>
                <w:sz w:val="20"/>
              </w:rPr>
            </w:pPr>
            <w:r>
              <w:rPr>
                <w:rFonts w:ascii="Montserrat;sans-serif" w:hAnsi="Montserrat;sans-serif"/>
                <w:b w:val="false"/>
                <w:color w:val="4C5966"/>
                <w:sz w:val="20"/>
              </w:rPr>
              <w:t>$</w:t>
            </w:r>
          </w:p>
        </w:tc>
        <w:tc>
          <w:tcPr>
            <w:tcW w:w="107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4C5966"/>
                <w:sz w:val="20"/>
              </w:rPr>
            </w:pPr>
            <w:r>
              <w:rPr>
                <w:rFonts w:ascii="Montserrat;sans-serif" w:hAnsi="Montserrat;sans-serif"/>
                <w:b w:val="false"/>
                <w:color w:val="4C5966"/>
                <w:sz w:val="20"/>
              </w:rPr>
              <w:t>40,867 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4C5966"/>
                <w:sz w:val="20"/>
              </w:rPr>
            </w:pPr>
            <w:r>
              <w:rPr>
                <w:rFonts w:ascii="Montserrat;sans-serif" w:hAnsi="Montserrat;sans-serif"/>
                <w:b w:val="false"/>
                <w:color w:val="4C5966"/>
                <w:sz w:val="20"/>
              </w:rPr>
              <w:t>$</w:t>
            </w:r>
          </w:p>
        </w:tc>
        <w:tc>
          <w:tcPr>
            <w:tcW w:w="107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4C5966"/>
                <w:sz w:val="20"/>
              </w:rPr>
            </w:pPr>
            <w:r>
              <w:rPr>
                <w:rFonts w:ascii="Montserrat;sans-serif" w:hAnsi="Montserrat;sans-serif"/>
                <w:b w:val="false"/>
                <w:color w:val="4C5966"/>
                <w:sz w:val="20"/>
              </w:rPr>
              <w:t>32,184 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4C5966"/>
                <w:sz w:val="20"/>
              </w:rPr>
            </w:pPr>
            <w:r>
              <w:rPr>
                <w:rFonts w:ascii="Montserrat;sans-serif" w:hAnsi="Montserrat;sans-serif"/>
                <w:b w:val="false"/>
                <w:color w:val="4C5966"/>
                <w:sz w:val="20"/>
              </w:rPr>
              <w:t>$</w:t>
            </w:r>
          </w:p>
        </w:tc>
        <w:tc>
          <w:tcPr>
            <w:tcW w:w="110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4C5966"/>
                <w:sz w:val="20"/>
              </w:rPr>
            </w:pPr>
            <w:r>
              <w:rPr>
                <w:rFonts w:ascii="Montserrat;sans-serif" w:hAnsi="Montserrat;sans-serif"/>
                <w:b w:val="false"/>
                <w:color w:val="4C5966"/>
                <w:sz w:val="20"/>
              </w:rPr>
              <w:t>84,150 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4C5966"/>
                <w:sz w:val="20"/>
              </w:rPr>
            </w:pPr>
            <w:r>
              <w:rPr>
                <w:rFonts w:ascii="Montserrat;sans-serif" w:hAnsi="Montserrat;sans-serif"/>
                <w:b w:val="false"/>
                <w:color w:val="4C5966"/>
                <w:sz w:val="20"/>
              </w:rPr>
              <w:t>$</w:t>
            </w:r>
          </w:p>
        </w:tc>
        <w:tc>
          <w:tcPr>
            <w:tcW w:w="110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4C5966"/>
                <w:sz w:val="20"/>
              </w:rPr>
            </w:pPr>
            <w:r>
              <w:rPr>
                <w:rFonts w:ascii="Montserrat;sans-serif" w:hAnsi="Montserrat;sans-serif"/>
                <w:b w:val="false"/>
                <w:color w:val="4C5966"/>
                <w:sz w:val="20"/>
              </w:rPr>
              <w:t>61,453 </w:t>
            </w:r>
          </w:p>
        </w:tc>
        <w:tc>
          <w:tcPr>
            <w:tcW w:w="16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4C5966"/>
                <w:sz w:val="20"/>
              </w:rPr>
            </w:pPr>
            <w:r>
              <w:rPr>
                <w:rFonts w:ascii="Montserrat;sans-serif" w:hAnsi="Montserrat;sans-serif"/>
                <w:b w:val="false"/>
                <w:color w:val="4C5966"/>
                <w:sz w:val="20"/>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4C5966"/>
                <w:sz w:val="20"/>
              </w:rPr>
            </w:pPr>
            <w:r>
              <w:rPr>
                <w:rFonts w:ascii="Montserrat;sans-serif" w:hAnsi="Montserrat;sans-serif"/>
                <w:b w:val="false"/>
                <w:color w:val="4C5966"/>
                <w:sz w:val="20"/>
              </w:rPr>
              <w:t>13,803 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4C5966"/>
                <w:sz w:val="20"/>
              </w:rPr>
            </w:pPr>
            <w:r>
              <w:rPr>
                <w:rFonts w:ascii="Montserrat;sans-serif" w:hAnsi="Montserrat;sans-serif"/>
                <w:b w:val="false"/>
                <w:color w:val="4C5966"/>
                <w:sz w:val="20"/>
              </w:rPr>
              <w:t>11,530 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4C5966"/>
                <w:sz w:val="20"/>
              </w:rPr>
            </w:pPr>
            <w:r>
              <w:rPr>
                <w:rFonts w:ascii="Montserrat;sans-serif" w:hAnsi="Montserrat;sans-serif"/>
                <w:b w:val="false"/>
                <w:color w:val="4C5966"/>
                <w:sz w:val="20"/>
              </w:rPr>
              <w:t>25,249 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4C5966"/>
                <w:sz w:val="20"/>
              </w:rPr>
            </w:pPr>
            <w:r>
              <w:rPr>
                <w:rFonts w:ascii="Montserrat;sans-serif" w:hAnsi="Montserrat;sans-serif"/>
                <w:b w:val="false"/>
                <w:color w:val="4C5966"/>
                <w:sz w:val="20"/>
              </w:rPr>
              <w:t>18,274 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4C5966"/>
                <w:sz w:val="20"/>
              </w:rPr>
            </w:pPr>
            <w:r>
              <w:rPr>
                <w:rFonts w:ascii="Montserrat;sans-serif" w:hAnsi="Montserrat;sans-serif"/>
                <w:b w:val="false"/>
                <w:color w:val="4C5966"/>
                <w:sz w:val="20"/>
              </w:rPr>
              <w:t>Acquisition and integration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4C5966"/>
                <w:sz w:val="20"/>
              </w:rPr>
            </w:pPr>
            <w:r>
              <w:rPr>
                <w:rFonts w:ascii="Montserrat;sans-serif" w:hAnsi="Montserrat;sans-serif"/>
                <w:b w:val="false"/>
                <w:color w:val="4C5966"/>
                <w:sz w:val="20"/>
              </w:rPr>
              <w:t>1,801 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4C5966"/>
                <w:sz w:val="20"/>
              </w:rPr>
            </w:pPr>
            <w:r>
              <w:rPr>
                <w:rFonts w:ascii="Montserrat;sans-serif" w:hAnsi="Montserrat;sans-serif"/>
                <w:b w:val="false"/>
                <w:color w:val="4C5966"/>
                <w:sz w:val="20"/>
              </w:rPr>
              <w:t>655 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4C5966"/>
                <w:sz w:val="20"/>
              </w:rPr>
            </w:pPr>
            <w:r>
              <w:rPr>
                <w:rFonts w:ascii="Montserrat;sans-serif" w:hAnsi="Montserrat;sans-serif"/>
                <w:b w:val="false"/>
                <w:color w:val="4C5966"/>
                <w:sz w:val="20"/>
              </w:rPr>
              <w:t>3,607 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4C5966"/>
                <w:sz w:val="20"/>
              </w:rPr>
            </w:pPr>
            <w:r>
              <w:rPr>
                <w:rFonts w:ascii="Montserrat;sans-serif" w:hAnsi="Montserrat;sans-serif"/>
                <w:b w:val="false"/>
                <w:color w:val="4C5966"/>
                <w:sz w:val="20"/>
              </w:rPr>
              <w:t>884 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4C5966"/>
                <w:sz w:val="20"/>
              </w:rPr>
            </w:pPr>
            <w:r>
              <w:rPr>
                <w:rFonts w:ascii="Montserrat;sans-serif" w:hAnsi="Montserrat;sans-serif"/>
                <w:b w:val="false"/>
                <w:color w:val="4C5966"/>
                <w:sz w:val="20"/>
              </w:rPr>
              <w:t>Asset and lease impairments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4C5966"/>
                <w:sz w:val="20"/>
              </w:rPr>
            </w:pPr>
            <w:r>
              <w:rPr>
                <w:rFonts w:ascii="Montserrat;sans-serif" w:hAnsi="Montserrat;sans-serif"/>
                <w:b w:val="false"/>
                <w:color w:val="4C5966"/>
                <w:sz w:val="20"/>
              </w:rPr>
              <w:t>1,990 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4C5966"/>
              </w:rPr>
            </w:pPr>
            <w:r>
              <w:rPr>
                <w:color w:val="4C5966"/>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4C5966"/>
                <w:sz w:val="20"/>
              </w:rPr>
            </w:pPr>
            <w:r>
              <w:rPr>
                <w:rFonts w:ascii="Montserrat;sans-serif" w:hAnsi="Montserrat;sans-serif"/>
                <w:b w:val="false"/>
                <w:color w:val="4C5966"/>
                <w:sz w:val="20"/>
              </w:rPr>
              <w:t>1,990 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4C5966"/>
              </w:rPr>
            </w:pPr>
            <w:r>
              <w:rPr>
                <w:color w:val="4C5966"/>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4C5966"/>
                <w:sz w:val="20"/>
              </w:rPr>
            </w:pPr>
            <w:r>
              <w:rPr>
                <w:rFonts w:ascii="Montserrat;sans-serif" w:hAnsi="Montserrat;sans-serif"/>
                <w:b w:val="false"/>
                <w:color w:val="4C5966"/>
                <w:sz w:val="20"/>
              </w:rPr>
              <w:t>Costs related to amended debt agreements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4C5966"/>
              </w:rPr>
            </w:pPr>
            <w:r>
              <w:rPr>
                <w:color w:val="4C5966"/>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4C5966"/>
              </w:rPr>
            </w:pPr>
            <w:r>
              <w:rPr>
                <w:color w:val="4C5966"/>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4C5966"/>
                <w:sz w:val="20"/>
              </w:rPr>
            </w:pPr>
            <w:r>
              <w:rPr>
                <w:rFonts w:ascii="Montserrat;sans-serif" w:hAnsi="Montserrat;sans-serif"/>
                <w:b w:val="false"/>
                <w:color w:val="4C5966"/>
                <w:sz w:val="20"/>
              </w:rPr>
              <w:t>227 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4C5966"/>
              </w:rPr>
            </w:pPr>
            <w:r>
              <w:rPr>
                <w:color w:val="4C5966"/>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4C5966"/>
                <w:sz w:val="20"/>
              </w:rPr>
            </w:pPr>
            <w:r>
              <w:rPr>
                <w:rFonts w:ascii="Montserrat;sans-serif" w:hAnsi="Montserrat;sans-serif"/>
                <w:b w:val="false"/>
                <w:color w:val="4C5966"/>
                <w:sz w:val="20"/>
              </w:rPr>
              <w:t>IPO and Secondary Offering related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4C5966"/>
                <w:sz w:val="20"/>
              </w:rPr>
            </w:pPr>
            <w:r>
              <w:rPr>
                <w:rFonts w:ascii="Montserrat;sans-serif" w:hAnsi="Montserrat;sans-serif"/>
                <w:b w:val="false"/>
                <w:color w:val="4C5966"/>
                <w:sz w:val="20"/>
              </w:rPr>
              <w:t>5 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4C5966"/>
                <w:sz w:val="20"/>
              </w:rPr>
            </w:pPr>
            <w:r>
              <w:rPr>
                <w:rFonts w:ascii="Montserrat;sans-serif" w:hAnsi="Montserrat;sans-serif"/>
                <w:b w:val="false"/>
                <w:color w:val="4C5966"/>
                <w:sz w:val="20"/>
              </w:rPr>
              <w:t>1,769 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4C5966"/>
                <w:sz w:val="20"/>
              </w:rPr>
            </w:pPr>
            <w:r>
              <w:rPr>
                <w:rFonts w:ascii="Montserrat;sans-serif" w:hAnsi="Montserrat;sans-serif"/>
                <w:b w:val="false"/>
                <w:color w:val="4C5966"/>
                <w:sz w:val="20"/>
              </w:rPr>
              <w:t>12 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4C5966"/>
                <w:sz w:val="20"/>
              </w:rPr>
            </w:pPr>
            <w:r>
              <w:rPr>
                <w:rFonts w:ascii="Montserrat;sans-serif" w:hAnsi="Montserrat;sans-serif"/>
                <w:b w:val="false"/>
                <w:color w:val="4C5966"/>
                <w:sz w:val="20"/>
              </w:rPr>
              <w:t>3,199 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4C5966"/>
                <w:sz w:val="20"/>
              </w:rPr>
            </w:pPr>
            <w:r>
              <w:rPr>
                <w:rFonts w:ascii="Montserrat;sans-serif" w:hAnsi="Montserrat;sans-serif"/>
                <w:b w:val="false"/>
                <w:color w:val="4C5966"/>
                <w:sz w:val="20"/>
              </w:rPr>
              <w:t>Other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4C5966"/>
                <w:sz w:val="20"/>
              </w:rPr>
            </w:pPr>
            <w:r>
              <w:rPr>
                <w:rFonts w:ascii="Montserrat;sans-serif" w:hAnsi="Montserrat;sans-serif"/>
                <w:b w:val="false"/>
                <w:color w:val="4C5966"/>
                <w:sz w:val="20"/>
              </w:rPr>
              <w:t>1,618 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4C5966"/>
                <w:sz w:val="20"/>
              </w:rPr>
            </w:pPr>
            <w:r>
              <w:rPr>
                <w:rFonts w:ascii="Montserrat;sans-serif" w:hAnsi="Montserrat;sans-serif"/>
                <w:b w:val="false"/>
                <w:color w:val="4C5966"/>
                <w:sz w:val="20"/>
              </w:rPr>
              <w:t>326 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4C5966"/>
                <w:sz w:val="20"/>
              </w:rPr>
            </w:pPr>
            <w:r>
              <w:rPr>
                <w:rFonts w:ascii="Montserrat;sans-serif" w:hAnsi="Montserrat;sans-serif"/>
                <w:b w:val="false"/>
                <w:color w:val="4C5966"/>
                <w:sz w:val="20"/>
              </w:rPr>
              <w:t>1,618 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4C5966"/>
                <w:sz w:val="20"/>
              </w:rPr>
            </w:pPr>
            <w:r>
              <w:rPr>
                <w:rFonts w:ascii="Montserrat;sans-serif" w:hAnsi="Montserrat;sans-serif"/>
                <w:b w:val="false"/>
                <w:color w:val="4C5966"/>
                <w:sz w:val="20"/>
              </w:rPr>
              <w:t>1,080 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4C5966"/>
                <w:sz w:val="20"/>
              </w:rPr>
            </w:pPr>
            <w:r>
              <w:rPr>
                <w:rFonts w:ascii="Montserrat;sans-serif" w:hAnsi="Montserrat;sans-serif"/>
                <w:b w:val="false"/>
                <w:color w:val="4C5966"/>
                <w:sz w:val="20"/>
              </w:rPr>
              <w:t>Intangible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4C5966"/>
                <w:sz w:val="20"/>
              </w:rPr>
            </w:pPr>
            <w:r>
              <w:rPr>
                <w:rFonts w:ascii="Montserrat;sans-serif" w:hAnsi="Montserrat;sans-serif"/>
                <w:b w:val="false"/>
                <w:color w:val="4C5966"/>
                <w:sz w:val="20"/>
              </w:rPr>
              <w:t>34,474 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4C5966"/>
                <w:sz w:val="20"/>
              </w:rPr>
            </w:pPr>
            <w:r>
              <w:rPr>
                <w:rFonts w:ascii="Montserrat;sans-serif" w:hAnsi="Montserrat;sans-serif"/>
                <w:b w:val="false"/>
                <w:color w:val="4C5966"/>
                <w:sz w:val="20"/>
              </w:rPr>
              <w:t>28,115 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4C5966"/>
                <w:sz w:val="20"/>
              </w:rPr>
            </w:pPr>
            <w:r>
              <w:rPr>
                <w:rFonts w:ascii="Montserrat;sans-serif" w:hAnsi="Montserrat;sans-serif"/>
                <w:b w:val="false"/>
                <w:color w:val="4C5966"/>
                <w:sz w:val="20"/>
              </w:rPr>
              <w:t>68,948 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4C5966"/>
                <w:sz w:val="20"/>
              </w:rPr>
            </w:pPr>
            <w:r>
              <w:rPr>
                <w:rFonts w:ascii="Montserrat;sans-serif" w:hAnsi="Montserrat;sans-serif"/>
                <w:b w:val="false"/>
                <w:color w:val="4C5966"/>
                <w:sz w:val="20"/>
              </w:rPr>
              <w:t>56,230 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4C5966"/>
                <w:sz w:val="20"/>
              </w:rPr>
            </w:pPr>
            <w:r>
              <w:rPr>
                <w:rFonts w:ascii="Montserrat;sans-serif" w:hAnsi="Montserrat;sans-serif"/>
                <w:b w:val="false"/>
                <w:color w:val="4C5966"/>
                <w:sz w:val="20"/>
              </w:rPr>
              <w:t>Tax effect of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4C5966"/>
                <w:sz w:val="20"/>
              </w:rPr>
            </w:pPr>
            <w:r>
              <w:rPr>
                <w:rFonts w:ascii="Montserrat;sans-serif" w:hAnsi="Montserrat;sans-serif"/>
                <w:b w:val="false"/>
                <w:color w:val="4C5966"/>
                <w:sz w:val="20"/>
              </w:rPr>
              <w:t>(11,275)</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4C5966"/>
                <w:sz w:val="20"/>
              </w:rPr>
            </w:pPr>
            <w:r>
              <w:rPr>
                <w:rFonts w:ascii="Montserrat;sans-serif" w:hAnsi="Montserrat;sans-serif"/>
                <w:b w:val="false"/>
                <w:color w:val="4C5966"/>
                <w:sz w:val="20"/>
              </w:rPr>
              <w:t>(8,903)</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4C5966"/>
                <w:sz w:val="20"/>
              </w:rPr>
            </w:pPr>
            <w:r>
              <w:rPr>
                <w:rFonts w:ascii="Montserrat;sans-serif" w:hAnsi="Montserrat;sans-serif"/>
                <w:b w:val="false"/>
                <w:color w:val="4C5966"/>
                <w:sz w:val="20"/>
              </w:rPr>
              <w:t>(21,347)</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4C5966"/>
                <w:sz w:val="20"/>
              </w:rPr>
            </w:pPr>
            <w:r>
              <w:rPr>
                <w:rFonts w:ascii="Montserrat;sans-serif" w:hAnsi="Montserrat;sans-serif"/>
                <w:b w:val="false"/>
                <w:color w:val="4C5966"/>
                <w:sz w:val="20"/>
              </w:rPr>
              <w:t>(16,730)</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4C5966"/>
                <w:sz w:val="20"/>
              </w:rPr>
            </w:pPr>
            <w:r>
              <w:rPr>
                <w:rFonts w:ascii="Montserrat;sans-serif" w:hAnsi="Montserrat;sans-serif"/>
                <w:b w:val="false"/>
                <w:color w:val="4C5966"/>
                <w:sz w:val="20"/>
              </w:rPr>
              <w:t>Non-GAAP 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4C5966"/>
                <w:sz w:val="20"/>
              </w:rPr>
            </w:pPr>
            <w:r>
              <w:rPr>
                <w:rFonts w:ascii="Montserrat;sans-serif" w:hAnsi="Montserrat;sans-serif"/>
                <w:b w:val="false"/>
                <w:color w:val="4C5966"/>
                <w:sz w:val="20"/>
              </w:rPr>
              <w:t>$</w:t>
            </w:r>
          </w:p>
        </w:tc>
        <w:tc>
          <w:tcPr>
            <w:tcW w:w="107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4C5966"/>
                <w:sz w:val="20"/>
              </w:rPr>
            </w:pPr>
            <w:r>
              <w:rPr>
                <w:rFonts w:ascii="Montserrat;sans-serif" w:hAnsi="Montserrat;sans-serif"/>
                <w:b w:val="false"/>
                <w:color w:val="4C5966"/>
                <w:sz w:val="20"/>
              </w:rPr>
              <w:t>83,283 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4C5966"/>
                <w:sz w:val="20"/>
              </w:rPr>
            </w:pPr>
            <w:r>
              <w:rPr>
                <w:rFonts w:ascii="Montserrat;sans-serif" w:hAnsi="Montserrat;sans-serif"/>
                <w:b w:val="false"/>
                <w:color w:val="4C5966"/>
                <w:sz w:val="20"/>
              </w:rPr>
              <w:t>$</w:t>
            </w:r>
          </w:p>
        </w:tc>
        <w:tc>
          <w:tcPr>
            <w:tcW w:w="107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4C5966"/>
                <w:sz w:val="20"/>
              </w:rPr>
            </w:pPr>
            <w:r>
              <w:rPr>
                <w:rFonts w:ascii="Montserrat;sans-serif" w:hAnsi="Montserrat;sans-serif"/>
                <w:b w:val="false"/>
                <w:color w:val="4C5966"/>
                <w:sz w:val="20"/>
              </w:rPr>
              <w:t>65,676 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4C5966"/>
                <w:sz w:val="20"/>
              </w:rPr>
            </w:pPr>
            <w:r>
              <w:rPr>
                <w:rFonts w:ascii="Montserrat;sans-serif" w:hAnsi="Montserrat;sans-serif"/>
                <w:b w:val="false"/>
                <w:color w:val="4C5966"/>
                <w:sz w:val="20"/>
              </w:rPr>
              <w:t>$</w:t>
            </w:r>
          </w:p>
        </w:tc>
        <w:tc>
          <w:tcPr>
            <w:tcW w:w="110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4C5966"/>
                <w:sz w:val="20"/>
              </w:rPr>
            </w:pPr>
            <w:r>
              <w:rPr>
                <w:rFonts w:ascii="Montserrat;sans-serif" w:hAnsi="Montserrat;sans-serif"/>
                <w:b w:val="false"/>
                <w:color w:val="4C5966"/>
                <w:sz w:val="20"/>
              </w:rPr>
              <w:t>164,454 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4C5966"/>
                <w:sz w:val="20"/>
              </w:rPr>
            </w:pPr>
            <w:r>
              <w:rPr>
                <w:rFonts w:ascii="Montserrat;sans-serif" w:hAnsi="Montserrat;sans-serif"/>
                <w:b w:val="false"/>
                <w:color w:val="4C5966"/>
                <w:sz w:val="20"/>
              </w:rPr>
              <w:t>$</w:t>
            </w:r>
          </w:p>
        </w:tc>
        <w:tc>
          <w:tcPr>
            <w:tcW w:w="110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4C5966"/>
                <w:sz w:val="20"/>
              </w:rPr>
            </w:pPr>
            <w:r>
              <w:rPr>
                <w:rFonts w:ascii="Montserrat;sans-serif" w:hAnsi="Montserrat;sans-serif"/>
                <w:b w:val="false"/>
                <w:color w:val="4C5966"/>
                <w:sz w:val="20"/>
              </w:rPr>
              <w:t>124,390 </w:t>
            </w:r>
          </w:p>
        </w:tc>
        <w:tc>
          <w:tcPr>
            <w:tcW w:w="16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4C5966"/>
                <w:sz w:val="20"/>
              </w:rPr>
            </w:pPr>
            <w:r>
              <w:rPr>
                <w:rFonts w:ascii="Montserrat;sans-serif" w:hAnsi="Montserrat;sans-serif"/>
                <w:b w:val="false"/>
                <w:color w:val="4C5966"/>
                <w:sz w:val="20"/>
              </w:rPr>
              <w:t>Non-GAAP net income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4C5966"/>
                <w:sz w:val="20"/>
              </w:rPr>
            </w:pPr>
            <w:r>
              <w:rPr>
                <w:rFonts w:ascii="Montserrat;sans-serif" w:hAnsi="Montserrat;sans-serif"/>
                <w:b w:val="false"/>
                <w:color w:val="4C5966"/>
                <w:sz w:val="20"/>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4C5966"/>
                <w:sz w:val="20"/>
              </w:rPr>
            </w:pPr>
            <w:r>
              <w:rPr>
                <w:rFonts w:ascii="Montserrat;sans-serif" w:hAnsi="Montserrat;sans-serif"/>
                <w:b w:val="false"/>
                <w:color w:val="4C5966"/>
                <w:sz w:val="20"/>
              </w:rPr>
              <w:t>$</w:t>
            </w:r>
          </w:p>
        </w:tc>
        <w:tc>
          <w:tcPr>
            <w:tcW w:w="1073"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4C5966"/>
                <w:sz w:val="20"/>
              </w:rPr>
            </w:pPr>
            <w:r>
              <w:rPr>
                <w:rFonts w:ascii="Montserrat;sans-serif" w:hAnsi="Montserrat;sans-serif"/>
                <w:b w:val="false"/>
                <w:color w:val="4C5966"/>
                <w:sz w:val="20"/>
              </w:rPr>
              <w:t>0.43 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4C5966"/>
                <w:sz w:val="20"/>
              </w:rPr>
            </w:pPr>
            <w:r>
              <w:rPr>
                <w:rFonts w:ascii="Montserrat;sans-serif" w:hAnsi="Montserrat;sans-serif"/>
                <w:b w:val="false"/>
                <w:color w:val="4C5966"/>
                <w:sz w:val="20"/>
              </w:rPr>
              <w:t>$</w:t>
            </w:r>
          </w:p>
        </w:tc>
        <w:tc>
          <w:tcPr>
            <w:tcW w:w="1073"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4C5966"/>
                <w:sz w:val="20"/>
              </w:rPr>
            </w:pPr>
            <w:r>
              <w:rPr>
                <w:rFonts w:ascii="Montserrat;sans-serif" w:hAnsi="Montserrat;sans-serif"/>
                <w:b w:val="false"/>
                <w:color w:val="4C5966"/>
                <w:sz w:val="20"/>
              </w:rPr>
              <w:t>0.38 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4C5966"/>
                <w:sz w:val="20"/>
              </w:rPr>
            </w:pPr>
            <w:r>
              <w:rPr>
                <w:rFonts w:ascii="Montserrat;sans-serif" w:hAnsi="Montserrat;sans-serif"/>
                <w:b w:val="false"/>
                <w:color w:val="4C5966"/>
                <w:sz w:val="20"/>
              </w:rPr>
              <w:t>$</w:t>
            </w:r>
          </w:p>
        </w:tc>
        <w:tc>
          <w:tcPr>
            <w:tcW w:w="1103"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4C5966"/>
                <w:sz w:val="20"/>
              </w:rPr>
            </w:pPr>
            <w:r>
              <w:rPr>
                <w:rFonts w:ascii="Montserrat;sans-serif" w:hAnsi="Montserrat;sans-serif"/>
                <w:b w:val="false"/>
                <w:color w:val="4C5966"/>
                <w:sz w:val="20"/>
              </w:rPr>
              <w:t>0.86 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4C5966"/>
                <w:sz w:val="20"/>
              </w:rPr>
            </w:pPr>
            <w:r>
              <w:rPr>
                <w:rFonts w:ascii="Montserrat;sans-serif" w:hAnsi="Montserrat;sans-serif"/>
                <w:b w:val="false"/>
                <w:color w:val="4C5966"/>
                <w:sz w:val="20"/>
              </w:rPr>
              <w:t>$</w:t>
            </w:r>
          </w:p>
        </w:tc>
        <w:tc>
          <w:tcPr>
            <w:tcW w:w="1103"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4C5966"/>
                <w:sz w:val="20"/>
              </w:rPr>
            </w:pPr>
            <w:r>
              <w:rPr>
                <w:rFonts w:ascii="Montserrat;sans-serif" w:hAnsi="Montserrat;sans-serif"/>
                <w:b w:val="false"/>
                <w:color w:val="4C5966"/>
                <w:sz w:val="20"/>
              </w:rPr>
              <w:t>0.72 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4C5966"/>
                <w:sz w:val="20"/>
              </w:rPr>
            </w:pPr>
            <w:r>
              <w:rPr>
                <w:rFonts w:ascii="Montserrat;sans-serif" w:hAnsi="Montserrat;sans-serif"/>
                <w:b w:val="false"/>
                <w:color w:val="4C5966"/>
                <w:sz w:val="20"/>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4C5966"/>
                <w:sz w:val="20"/>
              </w:rPr>
            </w:pPr>
            <w:r>
              <w:rPr>
                <w:rFonts w:ascii="Montserrat;sans-serif" w:hAnsi="Montserrat;sans-serif"/>
                <w:b w:val="false"/>
                <w:color w:val="4C5966"/>
                <w:sz w:val="20"/>
              </w:rPr>
              <w:t>$</w:t>
            </w:r>
          </w:p>
        </w:tc>
        <w:tc>
          <w:tcPr>
            <w:tcW w:w="1073"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4C5966"/>
                <w:sz w:val="20"/>
              </w:rPr>
            </w:pPr>
            <w:r>
              <w:rPr>
                <w:rFonts w:ascii="Montserrat;sans-serif" w:hAnsi="Montserrat;sans-serif"/>
                <w:b w:val="false"/>
                <w:color w:val="4C5966"/>
                <w:sz w:val="20"/>
              </w:rPr>
              <w:t>0.43 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4C5966"/>
                <w:sz w:val="20"/>
              </w:rPr>
            </w:pPr>
            <w:r>
              <w:rPr>
                <w:rFonts w:ascii="Montserrat;sans-serif" w:hAnsi="Montserrat;sans-serif"/>
                <w:b w:val="false"/>
                <w:color w:val="4C5966"/>
                <w:sz w:val="20"/>
              </w:rPr>
              <w:t>$</w:t>
            </w:r>
          </w:p>
        </w:tc>
        <w:tc>
          <w:tcPr>
            <w:tcW w:w="1073"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4C5966"/>
                <w:sz w:val="20"/>
              </w:rPr>
            </w:pPr>
            <w:r>
              <w:rPr>
                <w:rFonts w:ascii="Montserrat;sans-serif" w:hAnsi="Montserrat;sans-serif"/>
                <w:b w:val="false"/>
                <w:color w:val="4C5966"/>
                <w:sz w:val="20"/>
              </w:rPr>
              <w:t>0.36 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4C5966"/>
                <w:sz w:val="20"/>
              </w:rPr>
            </w:pPr>
            <w:r>
              <w:rPr>
                <w:rFonts w:ascii="Montserrat;sans-serif" w:hAnsi="Montserrat;sans-serif"/>
                <w:b w:val="false"/>
                <w:color w:val="4C5966"/>
                <w:sz w:val="20"/>
              </w:rPr>
              <w:t>$</w:t>
            </w:r>
          </w:p>
        </w:tc>
        <w:tc>
          <w:tcPr>
            <w:tcW w:w="1103"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4C5966"/>
                <w:sz w:val="20"/>
              </w:rPr>
            </w:pPr>
            <w:r>
              <w:rPr>
                <w:rFonts w:ascii="Montserrat;sans-serif" w:hAnsi="Montserrat;sans-serif"/>
                <w:b w:val="false"/>
                <w:color w:val="4C5966"/>
                <w:sz w:val="20"/>
              </w:rPr>
              <w:t>0.84 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4C5966"/>
                <w:sz w:val="20"/>
              </w:rPr>
            </w:pPr>
            <w:r>
              <w:rPr>
                <w:rFonts w:ascii="Montserrat;sans-serif" w:hAnsi="Montserrat;sans-serif"/>
                <w:b w:val="false"/>
                <w:color w:val="4C5966"/>
                <w:sz w:val="20"/>
              </w:rPr>
              <w:t>$</w:t>
            </w:r>
          </w:p>
        </w:tc>
        <w:tc>
          <w:tcPr>
            <w:tcW w:w="1103"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4C5966"/>
                <w:sz w:val="20"/>
              </w:rPr>
            </w:pPr>
            <w:r>
              <w:rPr>
                <w:rFonts w:ascii="Montserrat;sans-serif" w:hAnsi="Montserrat;sans-serif"/>
                <w:b w:val="false"/>
                <w:color w:val="4C5966"/>
                <w:sz w:val="20"/>
              </w:rPr>
              <w:t>0.69 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4C5966"/>
                <w:sz w:val="20"/>
              </w:rPr>
            </w:pPr>
            <w:r>
              <w:rPr>
                <w:rFonts w:ascii="Montserrat;sans-serif" w:hAnsi="Montserrat;sans-serif"/>
                <w:b w:val="false"/>
                <w:color w:val="4C5966"/>
                <w:sz w:val="20"/>
              </w:rPr>
              <w:t>Weighted-average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4C5966"/>
                <w:sz w:val="20"/>
              </w:rPr>
            </w:pPr>
            <w:r>
              <w:rPr>
                <w:rFonts w:ascii="Montserrat;sans-serif" w:hAnsi="Montserrat;sans-serif"/>
                <w:b w:val="false"/>
                <w:color w:val="4C5966"/>
                <w:sz w:val="20"/>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4C5966"/>
                <w:sz w:val="20"/>
              </w:rPr>
            </w:pPr>
            <w:r>
              <w:rPr>
                <w:rFonts w:ascii="Montserrat;sans-serif" w:hAnsi="Montserrat;sans-serif"/>
                <w:b w:val="false"/>
                <w:color w:val="4C5966"/>
                <w:sz w:val="20"/>
              </w:rPr>
              <w:t>191,868,642 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4C5966"/>
                <w:sz w:val="20"/>
              </w:rPr>
            </w:pPr>
            <w:r>
              <w:rPr>
                <w:rFonts w:ascii="Montserrat;sans-serif" w:hAnsi="Montserrat;sans-serif"/>
                <w:b w:val="false"/>
                <w:color w:val="4C5966"/>
                <w:sz w:val="20"/>
              </w:rPr>
              <w:t>173,358,382 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4C5966"/>
                <w:sz w:val="20"/>
              </w:rPr>
            </w:pPr>
            <w:r>
              <w:rPr>
                <w:rFonts w:ascii="Montserrat;sans-serif" w:hAnsi="Montserrat;sans-serif"/>
                <w:b w:val="false"/>
                <w:color w:val="4C5966"/>
                <w:sz w:val="20"/>
              </w:rPr>
              <w:t>191,719,015 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4C5966"/>
                <w:sz w:val="20"/>
              </w:rPr>
            </w:pPr>
            <w:r>
              <w:rPr>
                <w:rFonts w:ascii="Montserrat;sans-serif" w:hAnsi="Montserrat;sans-serif"/>
                <w:b w:val="false"/>
                <w:color w:val="4C5966"/>
                <w:sz w:val="20"/>
              </w:rPr>
              <w:t>172,467,988 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4C5966"/>
                <w:sz w:val="20"/>
              </w:rPr>
            </w:pPr>
            <w:r>
              <w:rPr>
                <w:rFonts w:ascii="Montserrat;sans-serif" w:hAnsi="Montserrat;sans-serif"/>
                <w:b w:val="false"/>
                <w:color w:val="4C5966"/>
                <w:sz w:val="20"/>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4C5966"/>
                <w:sz w:val="20"/>
              </w:rPr>
            </w:pPr>
            <w:r>
              <w:rPr>
                <w:rFonts w:ascii="Montserrat;sans-serif" w:hAnsi="Montserrat;sans-serif"/>
                <w:b w:val="false"/>
                <w:color w:val="4C5966"/>
                <w:sz w:val="20"/>
              </w:rPr>
              <w:t>194,513,042 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4C5966"/>
                <w:sz w:val="20"/>
              </w:rPr>
            </w:pPr>
            <w:r>
              <w:rPr>
                <w:rFonts w:ascii="Montserrat;sans-serif" w:hAnsi="Montserrat;sans-serif"/>
                <w:b w:val="false"/>
                <w:color w:val="4C5966"/>
                <w:sz w:val="20"/>
              </w:rPr>
              <w:t>181,599,133 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4C5966"/>
                <w:sz w:val="20"/>
              </w:rPr>
            </w:pPr>
            <w:r>
              <w:rPr>
                <w:rFonts w:ascii="Montserrat;sans-serif" w:hAnsi="Montserrat;sans-serif"/>
                <w:b w:val="false"/>
                <w:color w:val="4C5966"/>
                <w:sz w:val="20"/>
              </w:rPr>
              <w:t>194,902,172 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4C5966"/>
                <w:sz w:val="20"/>
              </w:rPr>
            </w:pPr>
            <w:r>
              <w:rPr>
                <w:rFonts w:ascii="Montserrat;sans-serif" w:hAnsi="Montserrat;sans-serif"/>
                <w:b w:val="false"/>
                <w:color w:val="4C5966"/>
                <w:sz w:val="20"/>
              </w:rPr>
              <w:t>181,076,149 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Montserrat;sans-serif" w:hAnsi="Montserrat;sans-serif"/>
          <w:b w:val="false"/>
          <w:color w:val="4C5966"/>
          <w:sz w:val="16"/>
        </w:rPr>
      </w:pPr>
      <w:r>
        <w:rPr>
          <w:rFonts w:ascii="Montserrat;sans-serif" w:hAnsi="Montserrat;sans-serif"/>
          <w:b w:val="false"/>
          <w:color w:val="4C5966"/>
          <w:sz w:val="16"/>
        </w:rPr>
        <w:t>(a)For the three and six months ended June 30, 2026, adjustments reflect costs associated with a cybersecurity incident (see Item 1A of our Form 10-Q). For the three and six months ended June 30, 2025, adjustments include lease-related costs associated with the relocation of our Louisville office totaling $0.2 million and $0.4 million, respectively, and executive severance costs totaling $0.0 million and $0.5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Montserrat;sans-serif" w:hAnsi="Montserrat;sans-serif"/>
          <w:b/>
          <w:color w:val="4C5966"/>
          <w:sz w:val="20"/>
        </w:rPr>
      </w:pPr>
      <w:r>
        <w:rPr>
          <w:rFonts w:ascii="Montserrat;sans-serif" w:hAnsi="Montserrat;sans-serif"/>
          <w:b/>
          <w:color w:val="4C5966"/>
          <w:sz w:val="20"/>
        </w:rPr>
        <w:t>Waystar</w:t>
      </w:r>
    </w:p>
    <w:p>
      <w:pPr>
        <w:pStyle w:val="TextBody"/>
        <w:bidi w:val="0"/>
        <w:spacing w:lineRule="auto" w:line="288" w:before="0" w:after="0"/>
        <w:jc w:val="center"/>
        <w:rPr>
          <w:rFonts w:ascii="Montserrat;sans-serif" w:hAnsi="Montserrat;sans-serif"/>
          <w:b/>
          <w:color w:val="4C5966"/>
          <w:sz w:val="20"/>
        </w:rPr>
      </w:pPr>
      <w:r>
        <w:rPr>
          <w:rFonts w:ascii="Montserrat;sans-serif" w:hAnsi="Montserrat;sans-serif"/>
          <w:b/>
          <w:color w:val="4C5966"/>
          <w:sz w:val="20"/>
        </w:rPr>
        <w:t>Reconciliation of Unlevered Free Cash Flow</w:t>
      </w:r>
    </w:p>
    <w:p>
      <w:pPr>
        <w:pStyle w:val="TextBody"/>
        <w:bidi w:val="0"/>
        <w:spacing w:lineRule="auto" w:line="288" w:before="0" w:after="0"/>
        <w:jc w:val="center"/>
        <w:rPr>
          <w:rFonts w:ascii="Montserrat;sans-serif" w:hAnsi="Montserrat;sans-serif"/>
          <w:b/>
          <w:color w:val="4C5966"/>
          <w:sz w:val="20"/>
        </w:rPr>
      </w:pPr>
      <w:r>
        <w:rPr>
          <w:rFonts w:ascii="Montserrat;sans-serif" w:hAnsi="Montserrat;sans-serif"/>
          <w:b/>
          <w:color w:val="4C5966"/>
          <w:sz w:val="20"/>
        </w:rPr>
        <w:t>(in thousands)</w:t>
      </w:r>
    </w:p>
    <w:p>
      <w:pPr>
        <w:pStyle w:val="TextBody"/>
        <w:bidi w:val="0"/>
        <w:spacing w:lineRule="auto" w:line="288" w:before="0" w:after="240"/>
        <w:jc w:val="center"/>
        <w:rPr>
          <w:rFonts w:ascii="Montserrat;sans-serif" w:hAnsi="Montserrat;sans-serif"/>
          <w:b/>
          <w:color w:val="4C5966"/>
          <w:sz w:val="20"/>
        </w:rPr>
      </w:pPr>
      <w:r>
        <w:rPr>
          <w:rFonts w:ascii="Montserrat;sans-serif" w:hAnsi="Montserrat;sans-serif"/>
          <w:b/>
          <w:color w:val="4C5966"/>
          <w:sz w:val="20"/>
        </w:rPr>
        <w:t>(unaudited)</w:t>
      </w:r>
    </w:p>
    <w:tbl>
      <w:tblPr>
        <w:tblW w:w="10205" w:type="dxa"/>
        <w:jc w:val="left"/>
        <w:tblInd w:w="0" w:type="dxa"/>
        <w:tblLayout w:type="fixed"/>
        <w:tblCellMar>
          <w:top w:w="28" w:type="dxa"/>
          <w:left w:w="28" w:type="dxa"/>
          <w:bottom w:w="28" w:type="dxa"/>
          <w:right w:w="28" w:type="dxa"/>
        </w:tblCellMar>
      </w:tblPr>
      <w:tblGrid>
        <w:gridCol w:w="1518"/>
        <w:gridCol w:w="1220"/>
        <w:gridCol w:w="1226"/>
        <w:gridCol w:w="573"/>
        <w:gridCol w:w="312"/>
        <w:gridCol w:w="220"/>
        <w:gridCol w:w="220"/>
        <w:gridCol w:w="220"/>
        <w:gridCol w:w="220"/>
        <w:gridCol w:w="573"/>
        <w:gridCol w:w="373"/>
        <w:gridCol w:w="220"/>
        <w:gridCol w:w="109"/>
        <w:gridCol w:w="109"/>
        <w:gridCol w:w="109"/>
        <w:gridCol w:w="577"/>
        <w:gridCol w:w="369"/>
        <w:gridCol w:w="201"/>
        <w:gridCol w:w="201"/>
        <w:gridCol w:w="201"/>
        <w:gridCol w:w="201"/>
        <w:gridCol w:w="577"/>
        <w:gridCol w:w="369"/>
        <w:gridCol w:w="287"/>
      </w:tblGrid>
      <w:tr>
        <w:trPr/>
        <w:tc>
          <w:tcPr>
            <w:tcW w:w="1518"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3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4C5966"/>
                <w:sz w:val="20"/>
              </w:rPr>
            </w:pPr>
            <w:r>
              <w:rPr>
                <w:rFonts w:ascii="Montserrat;sans-serif" w:hAnsi="Montserrat;sans-serif"/>
                <w:b/>
                <w:color w:val="4C5966"/>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4C5966"/>
                <w:sz w:val="20"/>
              </w:rPr>
            </w:pPr>
            <w:r>
              <w:rPr>
                <w:rFonts w:ascii="Montserrat;sans-serif" w:hAnsi="Montserrat;sans-serif"/>
                <w:b/>
                <w:color w:val="4C5966"/>
                <w:sz w:val="20"/>
              </w:rPr>
              <w:t>Six months ended June 30,</w:t>
            </w:r>
          </w:p>
        </w:tc>
      </w:tr>
      <w:tr>
        <w:trPr/>
        <w:tc>
          <w:tcPr>
            <w:tcW w:w="3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4C5966"/>
                <w:sz w:val="20"/>
              </w:rPr>
            </w:pPr>
            <w:r>
              <w:rPr>
                <w:rFonts w:ascii="Montserrat;sans-serif" w:hAnsi="Montserrat;sans-serif"/>
                <w:b/>
                <w:color w:val="4C5966"/>
                <w:sz w:val="20"/>
              </w:rPr>
              <w:t>2026</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4C5966"/>
                <w:sz w:val="20"/>
              </w:rPr>
            </w:pPr>
            <w:r>
              <w:rPr>
                <w:rFonts w:ascii="Montserrat;sans-serif" w:hAnsi="Montserrat;sans-serif"/>
                <w:b/>
                <w:color w:val="4C5966"/>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4C5966"/>
                <w:sz w:val="20"/>
              </w:rPr>
            </w:pPr>
            <w:r>
              <w:rPr>
                <w:rFonts w:ascii="Montserrat;sans-serif" w:hAnsi="Montserrat;sans-serif"/>
                <w:b/>
                <w:color w:val="4C5966"/>
                <w:sz w:val="20"/>
              </w:rPr>
              <w:t>2026</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4C5966"/>
                <w:sz w:val="20"/>
              </w:rPr>
            </w:pPr>
            <w:r>
              <w:rPr>
                <w:rFonts w:ascii="Montserrat;sans-serif" w:hAnsi="Montserrat;sans-serif"/>
                <w:b/>
                <w:color w:val="4C5966"/>
                <w:sz w:val="20"/>
              </w:rPr>
              <w:t>2025</w:t>
            </w:r>
          </w:p>
        </w:tc>
      </w:tr>
      <w:tr>
        <w:trPr/>
        <w:tc>
          <w:tcPr>
            <w:tcW w:w="39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2"/>
              </w:rPr>
            </w:pPr>
            <w:r>
              <w:rPr>
                <w:rFonts w:ascii="Montserrat;sans-serif" w:hAnsi="Montserrat;sans-serif"/>
                <w:b w:val="false"/>
                <w:color w:val="4C5966"/>
                <w:sz w:val="22"/>
              </w:rPr>
              <w:t>Net cash provided by operating activities</w:t>
            </w:r>
          </w:p>
        </w:tc>
        <w:tc>
          <w:tcPr>
            <w:tcW w:w="88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59,411 </w:t>
            </w:r>
          </w:p>
        </w:tc>
        <w:tc>
          <w:tcPr>
            <w:tcW w:w="2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96,760 </w:t>
            </w:r>
          </w:p>
        </w:tc>
        <w:tc>
          <w:tcPr>
            <w:tcW w:w="2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144,324 </w:t>
            </w:r>
          </w:p>
        </w:tc>
        <w:tc>
          <w:tcPr>
            <w:tcW w:w="20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161,009 </w:t>
            </w:r>
          </w:p>
        </w:tc>
        <w:tc>
          <w:tcPr>
            <w:tcW w:w="28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0"/>
              </w:rPr>
            </w:pPr>
            <w:r>
              <w:rPr>
                <w:rFonts w:ascii="Montserrat;sans-serif" w:hAnsi="Montserrat;sans-serif"/>
                <w:b w:val="false"/>
                <w:color w:val="4C5966"/>
                <w:sz w:val="20"/>
              </w:rPr>
              <w:t>Interest paid</w:t>
            </w:r>
          </w:p>
        </w:tc>
        <w:tc>
          <w:tcPr>
            <w:tcW w:w="8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20,610 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19,785 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41,290 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39,745 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0"/>
              </w:rPr>
            </w:pPr>
            <w:r>
              <w:rPr>
                <w:rFonts w:ascii="Montserrat;sans-serif" w:hAnsi="Montserrat;sans-serif"/>
                <w:b w:val="false"/>
                <w:color w:val="4C5966"/>
                <w:sz w:val="20"/>
              </w:rPr>
              <w:t>Purchase of PP&amp;E and capitalization of internally developed software costs</w:t>
            </w:r>
          </w:p>
        </w:tc>
        <w:tc>
          <w:tcPr>
            <w:tcW w:w="8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(16,113)</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(5,767)</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(31,440)</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(11,193)</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2"/>
              </w:rPr>
            </w:pPr>
            <w:r>
              <w:rPr>
                <w:rFonts w:ascii="Montserrat;sans-serif" w:hAnsi="Montserrat;sans-serif"/>
                <w:b w:val="false"/>
                <w:color w:val="4C5966"/>
                <w:sz w:val="22"/>
              </w:rPr>
              <w:t>Unlevered free cash flow</w:t>
            </w:r>
          </w:p>
        </w:tc>
        <w:tc>
          <w:tcPr>
            <w:tcW w:w="885"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63,908 </w:t>
            </w:r>
          </w:p>
        </w:tc>
        <w:tc>
          <w:tcPr>
            <w:tcW w:w="22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110,778 </w:t>
            </w:r>
          </w:p>
        </w:tc>
        <w:tc>
          <w:tcPr>
            <w:tcW w:w="22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154,174 </w:t>
            </w:r>
          </w:p>
        </w:tc>
        <w:tc>
          <w:tcPr>
            <w:tcW w:w="20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189,561 </w:t>
            </w:r>
          </w:p>
        </w:tc>
        <w:tc>
          <w:tcPr>
            <w:tcW w:w="28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Montserrat;sans-serif" w:hAnsi="Montserrat;sans-serif"/>
          <w:b/>
          <w:color w:val="4C5966"/>
          <w:sz w:val="20"/>
        </w:rPr>
      </w:pPr>
      <w:r>
        <w:rPr>
          <w:rFonts w:ascii="Montserrat;sans-serif" w:hAnsi="Montserrat;sans-serif"/>
          <w:b/>
          <w:color w:val="4C5966"/>
          <w:sz w:val="20"/>
        </w:rPr>
        <w:t>Waystar</w:t>
      </w:r>
    </w:p>
    <w:p>
      <w:pPr>
        <w:pStyle w:val="TextBody"/>
        <w:bidi w:val="0"/>
        <w:spacing w:lineRule="auto" w:line="288" w:before="0" w:after="0"/>
        <w:jc w:val="center"/>
        <w:rPr>
          <w:rFonts w:ascii="Montserrat;sans-serif" w:hAnsi="Montserrat;sans-serif"/>
          <w:b/>
          <w:color w:val="4C5966"/>
          <w:sz w:val="20"/>
        </w:rPr>
      </w:pPr>
      <w:r>
        <w:rPr>
          <w:rFonts w:ascii="Montserrat;sans-serif" w:hAnsi="Montserrat;sans-serif"/>
          <w:b/>
          <w:color w:val="4C5966"/>
          <w:sz w:val="20"/>
        </w:rPr>
        <w:t>Reconciliation of Net Debt</w:t>
      </w:r>
    </w:p>
    <w:p>
      <w:pPr>
        <w:pStyle w:val="TextBody"/>
        <w:bidi w:val="0"/>
        <w:spacing w:lineRule="auto" w:line="288" w:before="0" w:after="0"/>
        <w:jc w:val="center"/>
        <w:rPr>
          <w:rFonts w:ascii="Montserrat;sans-serif" w:hAnsi="Montserrat;sans-serif"/>
          <w:b/>
          <w:color w:val="4C5966"/>
          <w:sz w:val="20"/>
        </w:rPr>
      </w:pPr>
      <w:r>
        <w:rPr>
          <w:rFonts w:ascii="Montserrat;sans-serif" w:hAnsi="Montserrat;sans-serif"/>
          <w:b/>
          <w:color w:val="4C5966"/>
          <w:sz w:val="20"/>
        </w:rPr>
        <w:t>(in thousands)</w:t>
      </w:r>
    </w:p>
    <w:p>
      <w:pPr>
        <w:pStyle w:val="TextBody"/>
        <w:bidi w:val="0"/>
        <w:spacing w:lineRule="auto" w:line="288" w:before="0" w:after="240"/>
        <w:jc w:val="center"/>
        <w:rPr>
          <w:rFonts w:ascii="Montserrat;sans-serif" w:hAnsi="Montserrat;sans-serif"/>
          <w:b/>
          <w:color w:val="4C5966"/>
          <w:sz w:val="20"/>
        </w:rPr>
      </w:pPr>
      <w:r>
        <w:rPr>
          <w:rFonts w:ascii="Montserrat;sans-serif" w:hAnsi="Montserrat;sans-serif"/>
          <w:b/>
          <w:color w:val="4C5966"/>
          <w:sz w:val="20"/>
        </w:rPr>
        <w:t xml:space="preserve">(unaudited) </w:t>
      </w:r>
    </w:p>
    <w:tbl>
      <w:tblPr>
        <w:tblW w:w="10205" w:type="dxa"/>
        <w:jc w:val="left"/>
        <w:tblInd w:w="0" w:type="dxa"/>
        <w:tblLayout w:type="fixed"/>
        <w:tblCellMar>
          <w:top w:w="28" w:type="dxa"/>
          <w:left w:w="28" w:type="dxa"/>
          <w:bottom w:w="28" w:type="dxa"/>
          <w:right w:w="28" w:type="dxa"/>
        </w:tblCellMar>
      </w:tblPr>
      <w:tblGrid>
        <w:gridCol w:w="2579"/>
        <w:gridCol w:w="2266"/>
        <w:gridCol w:w="2271"/>
        <w:gridCol w:w="563"/>
        <w:gridCol w:w="563"/>
        <w:gridCol w:w="216"/>
        <w:gridCol w:w="110"/>
        <w:gridCol w:w="110"/>
        <w:gridCol w:w="110"/>
        <w:gridCol w:w="563"/>
        <w:gridCol w:w="563"/>
        <w:gridCol w:w="291"/>
      </w:tblGrid>
      <w:tr>
        <w:trPr/>
        <w:tc>
          <w:tcPr>
            <w:tcW w:w="2579"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7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4C5966"/>
                <w:sz w:val="20"/>
              </w:rPr>
            </w:pPr>
            <w:r>
              <w:rPr>
                <w:rFonts w:ascii="Montserrat;sans-serif" w:hAnsi="Montserrat;sans-serif"/>
                <w:b/>
                <w:color w:val="4C5966"/>
                <w:sz w:val="20"/>
              </w:rPr>
              <w:t>June 30,</w:t>
            </w:r>
          </w:p>
        </w:tc>
      </w:tr>
      <w:tr>
        <w:trPr/>
        <w:tc>
          <w:tcPr>
            <w:tcW w:w="7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4C5966"/>
                <w:sz w:val="20"/>
              </w:rPr>
            </w:pPr>
            <w:r>
              <w:rPr>
                <w:rFonts w:ascii="Montserrat;sans-serif" w:hAnsi="Montserrat;sans-serif"/>
                <w:b/>
                <w:color w:val="4C5966"/>
                <w:sz w:val="20"/>
              </w:rPr>
              <w:t>2026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4C5966"/>
                <w:sz w:val="20"/>
              </w:rPr>
            </w:pPr>
            <w:r>
              <w:rPr>
                <w:rFonts w:ascii="Montserrat;sans-serif" w:hAnsi="Montserrat;sans-serif"/>
                <w:b/>
                <w:color w:val="4C5966"/>
                <w:sz w:val="20"/>
              </w:rPr>
              <w:t>2025</w:t>
            </w:r>
          </w:p>
        </w:tc>
      </w:tr>
      <w:tr>
        <w:trPr/>
        <w:tc>
          <w:tcPr>
            <w:tcW w:w="71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2"/>
              </w:rPr>
            </w:pPr>
            <w:r>
              <w:rPr>
                <w:rFonts w:ascii="Montserrat;sans-serif" w:hAnsi="Montserrat;sans-serif"/>
                <w:b w:val="false"/>
                <w:color w:val="4C5966"/>
                <w:sz w:val="22"/>
              </w:rPr>
              <w:t>First lien term loan facility outstanding debt, current</w:t>
            </w:r>
          </w:p>
        </w:tc>
        <w:tc>
          <w:tcPr>
            <w:tcW w:w="11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14,194 </w:t>
            </w:r>
          </w:p>
        </w:tc>
        <w:tc>
          <w:tcPr>
            <w:tcW w:w="2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11,668 </w:t>
            </w:r>
          </w:p>
        </w:tc>
        <w:tc>
          <w:tcPr>
            <w:tcW w:w="29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2"/>
              </w:rPr>
            </w:pPr>
            <w:r>
              <w:rPr>
                <w:rFonts w:ascii="Montserrat;sans-serif" w:hAnsi="Montserrat;sans-serif"/>
                <w:b w:val="false"/>
                <w:color w:val="4C5966"/>
                <w:sz w:val="22"/>
              </w:rPr>
              <w:t>First lien term loan facility outstanding debt, net of current portion</w:t>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1,359,955 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1,146,044 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2"/>
              </w:rPr>
            </w:pPr>
            <w:r>
              <w:rPr>
                <w:rFonts w:ascii="Montserrat;sans-serif" w:hAnsi="Montserrat;sans-serif"/>
                <w:b w:val="false"/>
                <w:color w:val="4C5966"/>
                <w:sz w:val="22"/>
              </w:rPr>
              <w:t>Receivables facility outstanding debt</w:t>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100,000 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80,000 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2"/>
              </w:rPr>
            </w:pPr>
            <w:r>
              <w:rPr>
                <w:rFonts w:ascii="Montserrat;sans-serif" w:hAnsi="Montserrat;sans-serif"/>
                <w:b w:val="false"/>
                <w:color w:val="4C5966"/>
                <w:sz w:val="22"/>
              </w:rPr>
              <w:t>Cash and cash equivalents</w:t>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(12,645)</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(290,300)</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2"/>
              </w:rPr>
            </w:pPr>
            <w:r>
              <w:rPr>
                <w:rFonts w:ascii="Montserrat;sans-serif" w:hAnsi="Montserrat;sans-serif"/>
                <w:b w:val="false"/>
                <w:color w:val="4C5966"/>
                <w:sz w:val="22"/>
              </w:rPr>
              <w:t>Investment securities</w:t>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(178,954)</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(50,493)</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2"/>
              </w:rPr>
            </w:pPr>
            <w:r>
              <w:rPr>
                <w:rFonts w:ascii="Montserrat;sans-serif" w:hAnsi="Montserrat;sans-serif"/>
                <w:b w:val="false"/>
                <w:color w:val="4C5966"/>
                <w:sz w:val="22"/>
              </w:rPr>
              <w:t>Net debt</w:t>
            </w:r>
          </w:p>
        </w:tc>
        <w:tc>
          <w:tcPr>
            <w:tcW w:w="11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1,282,550 </w:t>
            </w:r>
          </w:p>
        </w:tc>
        <w:tc>
          <w:tcPr>
            <w:tcW w:w="2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896,919 </w:t>
            </w:r>
          </w:p>
        </w:tc>
        <w:tc>
          <w:tcPr>
            <w:tcW w:w="29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2"/>
              </w:rPr>
            </w:pPr>
            <w:r>
              <w:rPr>
                <w:rFonts w:ascii="Montserrat;sans-serif" w:hAnsi="Montserrat;sans-serif"/>
                <w:b w:val="false"/>
                <w:color w:val="4C5966"/>
                <w:sz w:val="22"/>
              </w:rPr>
              <w:t>Trailing Twelve Months Adjusted EBITDA</w:t>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513,976 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417,128 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2"/>
              </w:rPr>
            </w:pPr>
            <w:r>
              <w:rPr>
                <w:rFonts w:ascii="Montserrat;sans-serif" w:hAnsi="Montserrat;sans-serif"/>
                <w:b w:val="false"/>
                <w:color w:val="4C5966"/>
                <w:sz w:val="22"/>
              </w:rPr>
              <w:t>Adjusted gross leverage ratio</w:t>
            </w:r>
          </w:p>
        </w:tc>
        <w:tc>
          <w:tcPr>
            <w:tcW w:w="134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2.9x</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3.0x</w:t>
            </w:r>
          </w:p>
        </w:tc>
      </w:tr>
      <w:tr>
        <w:trPr/>
        <w:tc>
          <w:tcPr>
            <w:tcW w:w="71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2"/>
              </w:rPr>
            </w:pPr>
            <w:r>
              <w:rPr>
                <w:rFonts w:ascii="Montserrat;sans-serif" w:hAnsi="Montserrat;sans-serif"/>
                <w:b w:val="false"/>
                <w:color w:val="4C5966"/>
                <w:sz w:val="22"/>
              </w:rPr>
              <w:t>Adjusted net leverage ratio</w:t>
            </w:r>
          </w:p>
        </w:tc>
        <w:tc>
          <w:tcPr>
            <w:tcW w:w="134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2.5x</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2.2x</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Montserrat;sans-serif" w:hAnsi="Montserrat;sans-serif"/>
          <w:b/>
          <w:color w:val="4C5966"/>
          <w:sz w:val="20"/>
        </w:rPr>
      </w:pPr>
      <w:r>
        <w:rPr>
          <w:rFonts w:ascii="Montserrat;sans-serif" w:hAnsi="Montserrat;sans-serif"/>
          <w:b/>
          <w:color w:val="4C5966"/>
          <w:sz w:val="20"/>
        </w:rPr>
        <w:t xml:space="preserve">Waystar </w:t>
      </w:r>
    </w:p>
    <w:p>
      <w:pPr>
        <w:pStyle w:val="TextBody"/>
        <w:bidi w:val="0"/>
        <w:spacing w:lineRule="auto" w:line="288" w:before="0" w:after="0"/>
        <w:jc w:val="center"/>
        <w:rPr>
          <w:rFonts w:ascii="Montserrat;sans-serif" w:hAnsi="Montserrat;sans-serif"/>
          <w:b/>
          <w:color w:val="4C5966"/>
          <w:sz w:val="20"/>
        </w:rPr>
      </w:pPr>
      <w:r>
        <w:rPr>
          <w:rFonts w:ascii="Montserrat;sans-serif" w:hAnsi="Montserrat;sans-serif"/>
          <w:b/>
          <w:color w:val="4C5966"/>
          <w:sz w:val="20"/>
        </w:rPr>
        <w:t xml:space="preserve">Reconciliation of Trailing Twelve Months (TTM) Adjusted EBITDA </w:t>
      </w:r>
    </w:p>
    <w:p>
      <w:pPr>
        <w:pStyle w:val="TextBody"/>
        <w:bidi w:val="0"/>
        <w:spacing w:lineRule="auto" w:line="288" w:before="0" w:after="0"/>
        <w:jc w:val="center"/>
        <w:rPr>
          <w:rFonts w:ascii="Montserrat;sans-serif" w:hAnsi="Montserrat;sans-serif"/>
          <w:b/>
          <w:color w:val="4C5966"/>
          <w:sz w:val="20"/>
        </w:rPr>
      </w:pPr>
      <w:r>
        <w:rPr>
          <w:rFonts w:ascii="Montserrat;sans-serif" w:hAnsi="Montserrat;sans-serif"/>
          <w:b/>
          <w:color w:val="4C5966"/>
          <w:sz w:val="20"/>
        </w:rPr>
        <w:t>(in thousands)</w:t>
      </w:r>
    </w:p>
    <w:p>
      <w:pPr>
        <w:pStyle w:val="TextBody"/>
        <w:bidi w:val="0"/>
        <w:spacing w:lineRule="auto" w:line="288" w:before="0" w:after="240"/>
        <w:jc w:val="center"/>
        <w:rPr>
          <w:rFonts w:ascii="Montserrat;sans-serif" w:hAnsi="Montserrat;sans-serif"/>
          <w:b/>
          <w:color w:val="4C5966"/>
          <w:sz w:val="20"/>
        </w:rPr>
      </w:pPr>
      <w:r>
        <w:rPr>
          <w:rFonts w:ascii="Montserrat;sans-serif" w:hAnsi="Montserrat;sans-serif"/>
          <w:b/>
          <w:color w:val="4C5966"/>
          <w:sz w:val="20"/>
        </w:rPr>
        <w:t xml:space="preserve">(unaudited) </w:t>
      </w:r>
    </w:p>
    <w:tbl>
      <w:tblPr>
        <w:tblW w:w="10205" w:type="dxa"/>
        <w:jc w:val="center"/>
        <w:tblInd w:w="0" w:type="dxa"/>
        <w:tblLayout w:type="fixed"/>
        <w:tblCellMar>
          <w:top w:w="28" w:type="dxa"/>
          <w:left w:w="28" w:type="dxa"/>
          <w:bottom w:w="28" w:type="dxa"/>
          <w:right w:w="28" w:type="dxa"/>
        </w:tblCellMar>
      </w:tblPr>
      <w:tblGrid>
        <w:gridCol w:w="1277"/>
        <w:gridCol w:w="672"/>
        <w:gridCol w:w="644"/>
        <w:gridCol w:w="473"/>
        <w:gridCol w:w="473"/>
        <w:gridCol w:w="220"/>
        <w:gridCol w:w="109"/>
        <w:gridCol w:w="109"/>
        <w:gridCol w:w="109"/>
        <w:gridCol w:w="473"/>
        <w:gridCol w:w="473"/>
        <w:gridCol w:w="251"/>
        <w:gridCol w:w="109"/>
        <w:gridCol w:w="109"/>
        <w:gridCol w:w="109"/>
        <w:gridCol w:w="531"/>
        <w:gridCol w:w="427"/>
        <w:gridCol w:w="376"/>
        <w:gridCol w:w="109"/>
        <w:gridCol w:w="109"/>
        <w:gridCol w:w="109"/>
        <w:gridCol w:w="489"/>
        <w:gridCol w:w="465"/>
        <w:gridCol w:w="401"/>
        <w:gridCol w:w="109"/>
        <w:gridCol w:w="109"/>
        <w:gridCol w:w="109"/>
        <w:gridCol w:w="473"/>
        <w:gridCol w:w="473"/>
        <w:gridCol w:w="306"/>
      </w:tblGrid>
      <w:tr>
        <w:trPr/>
        <w:tc>
          <w:tcPr>
            <w:tcW w:w="127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2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4C5966"/>
                <w:sz w:val="20"/>
              </w:rPr>
            </w:pPr>
            <w:r>
              <w:rPr>
                <w:rFonts w:ascii="Montserrat;sans-serif" w:hAnsi="Montserrat;sans-serif"/>
                <w:b/>
                <w:color w:val="4C5966"/>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4C5966"/>
                <w:sz w:val="20"/>
              </w:rPr>
            </w:pPr>
            <w:r>
              <w:rPr>
                <w:rFonts w:ascii="Montserrat;sans-serif" w:hAnsi="Montserrat;sans-serif"/>
                <w:b/>
                <w:color w:val="4C5966"/>
                <w:sz w:val="20"/>
              </w:rPr>
              <w:t>TTM</w:t>
            </w:r>
          </w:p>
        </w:tc>
      </w:tr>
      <w:tr>
        <w:trPr/>
        <w:tc>
          <w:tcPr>
            <w:tcW w:w="2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4C5966"/>
                <w:sz w:val="18"/>
              </w:rPr>
            </w:pPr>
            <w:r>
              <w:rPr>
                <w:rFonts w:ascii="Montserrat;sans-serif" w:hAnsi="Montserrat;sans-serif"/>
                <w:b w:val="false"/>
                <w:color w:val="4C5966"/>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4C5966"/>
                <w:sz w:val="18"/>
              </w:rPr>
            </w:pPr>
            <w:r>
              <w:rPr>
                <w:rFonts w:ascii="Montserrat;sans-serif" w:hAnsi="Montserrat;sans-serif"/>
                <w:b w:val="false"/>
                <w:color w:val="4C5966"/>
                <w:sz w:val="18"/>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4C5966"/>
                <w:sz w:val="18"/>
              </w:rPr>
            </w:pPr>
            <w:r>
              <w:rPr>
                <w:rFonts w:ascii="Montserrat;sans-serif" w:hAnsi="Montserrat;sans-serif"/>
                <w:b w:val="false"/>
                <w:color w:val="4C5966"/>
                <w:sz w:val="18"/>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4C5966"/>
                <w:sz w:val="18"/>
              </w:rPr>
            </w:pPr>
            <w:r>
              <w:rPr>
                <w:rFonts w:ascii="Montserrat;sans-serif" w:hAnsi="Montserrat;sans-serif"/>
                <w:b w:val="false"/>
                <w:color w:val="4C5966"/>
                <w:sz w:val="18"/>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4C5966"/>
                <w:sz w:val="18"/>
              </w:rPr>
            </w:pPr>
            <w:r>
              <w:rPr>
                <w:rFonts w:ascii="Montserrat;sans-serif" w:hAnsi="Montserrat;sans-serif"/>
                <w:b w:val="false"/>
                <w:color w:val="4C5966"/>
                <w:sz w:val="18"/>
              </w:rPr>
              <w:t>June 30,</w:t>
              <w:br/>
              <w:t>2026</w:t>
            </w:r>
          </w:p>
        </w:tc>
      </w:tr>
      <w:tr>
        <w:trPr/>
        <w:tc>
          <w:tcPr>
            <w:tcW w:w="25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2"/>
              </w:rPr>
            </w:pPr>
            <w:r>
              <w:rPr>
                <w:rFonts w:ascii="Montserrat;sans-serif" w:hAnsi="Montserrat;sans-serif"/>
                <w:b w:val="false"/>
                <w:color w:val="4C5966"/>
                <w:sz w:val="22"/>
              </w:rPr>
              <w:t>Net income</w:t>
            </w:r>
          </w:p>
        </w:tc>
        <w:tc>
          <w:tcPr>
            <w:tcW w:w="9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40,867 </w:t>
            </w:r>
          </w:p>
        </w:tc>
        <w:tc>
          <w:tcPr>
            <w:tcW w:w="2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43,283 </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19,988 </w:t>
            </w:r>
          </w:p>
        </w:tc>
        <w:tc>
          <w:tcPr>
            <w:tcW w:w="3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30,648 </w:t>
            </w:r>
          </w:p>
        </w:tc>
        <w:tc>
          <w:tcPr>
            <w:tcW w:w="40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134,786 </w:t>
            </w:r>
          </w:p>
        </w:tc>
        <w:tc>
          <w:tcPr>
            <w:tcW w:w="30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2"/>
              </w:rPr>
            </w:pPr>
            <w:r>
              <w:rPr>
                <w:rFonts w:ascii="Montserrat;sans-serif" w:hAnsi="Montserrat;sans-serif"/>
                <w:b w:val="false"/>
                <w:color w:val="4C5966"/>
                <w:sz w:val="22"/>
              </w:rPr>
              <w:t>Interest expense, net</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19,646 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20,647 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22,872 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17,515 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80,680 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2"/>
              </w:rPr>
            </w:pPr>
            <w:r>
              <w:rPr>
                <w:rFonts w:ascii="Montserrat;sans-serif" w:hAnsi="Montserrat;sans-serif"/>
                <w:b w:val="false"/>
                <w:color w:val="4C5966"/>
                <w:sz w:val="22"/>
              </w:rPr>
              <w:t>Income tax expense</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15,529 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16,535 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16,158 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12,069 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60,291 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2"/>
              </w:rPr>
            </w:pPr>
            <w:r>
              <w:rPr>
                <w:rFonts w:ascii="Montserrat;sans-serif" w:hAnsi="Montserrat;sans-serif"/>
                <w:b w:val="false"/>
                <w:color w:val="4C5966"/>
                <w:sz w:val="22"/>
              </w:rPr>
              <w:t>Depreciation and amortization</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41,466 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41,452 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40,442 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33,300 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156,660 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2"/>
              </w:rPr>
            </w:pPr>
            <w:r>
              <w:rPr>
                <w:rFonts w:ascii="Montserrat;sans-serif" w:hAnsi="Montserrat;sans-serif"/>
                <w:b w:val="false"/>
                <w:color w:val="4C5966"/>
                <w:sz w:val="22"/>
              </w:rPr>
              <w:t>Stock-based compensation expense</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13,803 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11,446 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12,198 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11,597 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49,044 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2"/>
              </w:rPr>
            </w:pPr>
            <w:r>
              <w:rPr>
                <w:rFonts w:ascii="Montserrat;sans-serif" w:hAnsi="Montserrat;sans-serif"/>
                <w:b w:val="false"/>
                <w:color w:val="4C5966"/>
                <w:sz w:val="22"/>
              </w:rPr>
              <w:t>Acquisition and integration costs</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1,801 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1,806 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14,877 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5,313 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23,797 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2"/>
              </w:rPr>
            </w:pPr>
            <w:r>
              <w:rPr>
                <w:rFonts w:ascii="Montserrat;sans-serif" w:hAnsi="Montserrat;sans-serif"/>
                <w:b w:val="false"/>
                <w:color w:val="4C5966"/>
                <w:sz w:val="22"/>
              </w:rPr>
              <w:t>Asset and lease impairments</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1,990 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1,990 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2"/>
              </w:rPr>
            </w:pPr>
            <w:r>
              <w:rPr>
                <w:rFonts w:ascii="Montserrat;sans-serif" w:hAnsi="Montserrat;sans-serif"/>
                <w:b w:val="false"/>
                <w:color w:val="4C5966"/>
                <w:sz w:val="22"/>
              </w:rPr>
              <w:t>Costs related to amended debt agreements</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227 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1,931 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649 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2,807 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2"/>
              </w:rPr>
            </w:pPr>
            <w:r>
              <w:rPr>
                <w:rFonts w:ascii="Montserrat;sans-serif" w:hAnsi="Montserrat;sans-serif"/>
                <w:b w:val="false"/>
                <w:color w:val="4C5966"/>
                <w:sz w:val="22"/>
              </w:rPr>
              <w:t>IPO and Secondary Offering expenses</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5 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7 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86 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1,372 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1,470 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4C5966"/>
                <w:sz w:val="22"/>
              </w:rPr>
            </w:pPr>
            <w:r>
              <w:rPr>
                <w:rFonts w:ascii="Montserrat;sans-serif" w:hAnsi="Montserrat;sans-serif"/>
                <w:b w:val="false"/>
                <w:color w:val="4C5966"/>
                <w:sz w:val="22"/>
              </w:rPr>
              <w:t>Other (a)</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1,618 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593 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240 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2,451 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4C5966"/>
                <w:sz w:val="20"/>
              </w:rPr>
            </w:pPr>
            <w:r>
              <w:rPr>
                <w:rFonts w:ascii="Montserrat;sans-serif" w:hAnsi="Montserrat;sans-serif"/>
                <w:b/>
                <w:color w:val="4C5966"/>
                <w:sz w:val="20"/>
              </w:rPr>
              <w:t>Adjusted EBITDA</w:t>
            </w:r>
          </w:p>
        </w:tc>
        <w:tc>
          <w:tcPr>
            <w:tcW w:w="94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136,725 </w:t>
            </w:r>
          </w:p>
        </w:tc>
        <w:tc>
          <w:tcPr>
            <w:tcW w:w="22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135,403 </w:t>
            </w:r>
          </w:p>
        </w:tc>
        <w:tc>
          <w:tcPr>
            <w:tcW w:w="25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129,145 </w:t>
            </w:r>
          </w:p>
        </w:tc>
        <w:tc>
          <w:tcPr>
            <w:tcW w:w="3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112,703 </w:t>
            </w:r>
          </w:p>
        </w:tc>
        <w:tc>
          <w:tcPr>
            <w:tcW w:w="40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4C5966"/>
                <w:sz w:val="20"/>
              </w:rPr>
            </w:pPr>
            <w:r>
              <w:rPr>
                <w:rFonts w:ascii="Montserrat;sans-serif" w:hAnsi="Montserrat;sans-serif"/>
                <w:b w:val="false"/>
                <w:color w:val="4C5966"/>
                <w:sz w:val="20"/>
              </w:rPr>
              <w:t>513,976 </w:t>
            </w:r>
          </w:p>
        </w:tc>
        <w:tc>
          <w:tcPr>
            <w:tcW w:w="30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Montserrat;sans-serif" w:hAnsi="Montserrat;sans-serif"/>
          <w:b w:val="false"/>
          <w:color w:val="4C5966"/>
          <w:sz w:val="20"/>
        </w:rPr>
      </w:pPr>
      <w:r>
        <w:rPr>
          <w:rFonts w:ascii="Montserrat;sans-serif" w:hAnsi="Montserrat;sans-serif"/>
          <w:b w:val="false"/>
          <w:color w:val="4C5966"/>
          <w:sz w:val="20"/>
        </w:rPr>
        <w:t>(a) Adjustments reflect costs associated with a cybersecurity incident (see Item 1A of our Form 10-Q and lease-related costs associated with the relocation of our Louisville office.</w:t>
      </w:r>
    </w:p>
    <w:p>
      <w:pPr>
        <w:pStyle w:val="TextBody"/>
        <w:bidi w:val="0"/>
        <w:spacing w:before="0" w:after="240"/>
        <w:jc w:val="left"/>
        <w:rPr/>
      </w:pPr>
      <w:r>
        <w:rPr/>
      </w:r>
    </w:p>
    <w:p>
      <w:pPr>
        <w:pStyle w:val="TextBody"/>
        <w:bidi w:val="0"/>
        <w:spacing w:lineRule="auto" w:line="288" w:before="0" w:after="0"/>
        <w:jc w:val="left"/>
        <w:rPr>
          <w:rFonts w:ascii="Montserrat;sans-serif" w:hAnsi="Montserrat;sans-serif"/>
          <w:b/>
          <w:color w:val="4C5966"/>
          <w:sz w:val="20"/>
        </w:rPr>
      </w:pPr>
      <w:r>
        <w:rPr>
          <w:rFonts w:ascii="Montserrat;sans-serif" w:hAnsi="Montserrat;sans-serif"/>
          <w:b/>
          <w:color w:val="4C5966"/>
          <w:sz w:val="20"/>
        </w:rPr>
        <w:t>Media Contact</w:t>
      </w:r>
    </w:p>
    <w:p>
      <w:pPr>
        <w:pStyle w:val="TextBody"/>
        <w:bidi w:val="0"/>
        <w:spacing w:lineRule="auto" w:line="288" w:before="0" w:after="0"/>
        <w:jc w:val="left"/>
        <w:rPr>
          <w:rFonts w:ascii="Montserrat;sans-serif" w:hAnsi="Montserrat;sans-serif"/>
          <w:b w:val="false"/>
          <w:color w:val="4C5966"/>
          <w:sz w:val="20"/>
        </w:rPr>
      </w:pPr>
      <w:r>
        <w:rPr>
          <w:rFonts w:ascii="Montserrat;sans-serif" w:hAnsi="Montserrat;sans-serif"/>
          <w:b w:val="false"/>
          <w:color w:val="4C5966"/>
          <w:sz w:val="20"/>
        </w:rPr>
        <w:t>Kristin Lee</w:t>
      </w:r>
    </w:p>
    <w:p>
      <w:pPr>
        <w:pStyle w:val="TextBody"/>
        <w:bidi w:val="0"/>
        <w:spacing w:lineRule="auto" w:line="288" w:before="0" w:after="240"/>
        <w:jc w:val="left"/>
        <w:rPr>
          <w:rFonts w:ascii="Montserrat;sans-serif" w:hAnsi="Montserrat;sans-serif"/>
          <w:b w:val="false"/>
          <w:color w:val="FF6900"/>
          <w:sz w:val="20"/>
          <w:u w:val="single"/>
        </w:rPr>
      </w:pPr>
      <w:r>
        <w:rPr>
          <w:rFonts w:ascii="Montserrat;sans-serif" w:hAnsi="Montserrat;sans-serif"/>
          <w:b w:val="false"/>
          <w:color w:val="FF6900"/>
          <w:sz w:val="20"/>
          <w:u w:val="single"/>
        </w:rPr>
        <w:t>kristin.lee@waystar.com</w:t>
      </w:r>
    </w:p>
    <w:p>
      <w:pPr>
        <w:pStyle w:val="TextBody"/>
        <w:bidi w:val="0"/>
        <w:spacing w:lineRule="auto" w:line="288" w:before="0" w:after="0"/>
        <w:jc w:val="left"/>
        <w:rPr>
          <w:rFonts w:ascii="Montserrat;sans-serif" w:hAnsi="Montserrat;sans-serif"/>
          <w:b/>
          <w:color w:val="4C5966"/>
          <w:sz w:val="20"/>
        </w:rPr>
      </w:pPr>
      <w:r>
        <w:rPr>
          <w:rFonts w:ascii="Montserrat;sans-serif" w:hAnsi="Montserrat;sans-serif"/>
          <w:b/>
          <w:color w:val="4C5966"/>
          <w:sz w:val="20"/>
        </w:rPr>
        <w:t>Investor Contact</w:t>
      </w:r>
    </w:p>
    <w:p>
      <w:pPr>
        <w:pStyle w:val="TextBody"/>
        <w:bidi w:val="0"/>
        <w:spacing w:lineRule="auto" w:line="288" w:before="0" w:after="0"/>
        <w:jc w:val="left"/>
        <w:rPr>
          <w:rFonts w:ascii="Montserrat;sans-serif" w:hAnsi="Montserrat;sans-serif"/>
          <w:b w:val="false"/>
          <w:color w:val="4C5966"/>
          <w:sz w:val="20"/>
        </w:rPr>
      </w:pPr>
      <w:r>
        <w:rPr>
          <w:rFonts w:ascii="Montserrat;sans-serif" w:hAnsi="Montserrat;sans-serif"/>
          <w:b w:val="false"/>
          <w:color w:val="4C5966"/>
          <w:sz w:val="20"/>
        </w:rPr>
        <w:t>Edward Parker</w:t>
      </w:r>
    </w:p>
    <w:p>
      <w:pPr>
        <w:pStyle w:val="TextBody"/>
        <w:bidi w:val="0"/>
        <w:spacing w:lineRule="auto" w:line="288" w:before="0" w:after="240"/>
        <w:jc w:val="left"/>
        <w:rPr>
          <w:rFonts w:ascii="Montserrat;sans-serif" w:hAnsi="Montserrat;sans-serif"/>
          <w:b w:val="false"/>
          <w:color w:val="FF6900"/>
          <w:sz w:val="20"/>
          <w:u w:val="single"/>
        </w:rPr>
      </w:pPr>
      <w:r>
        <w:rPr>
          <w:rFonts w:ascii="Montserrat;sans-serif" w:hAnsi="Montserrat;sans-serif"/>
          <w:b w:val="false"/>
          <w:color w:val="FF6900"/>
          <w:sz w:val="20"/>
          <w:u w:val="single"/>
        </w:rPr>
        <w:t>investors@waystar.com</w:t>
      </w:r>
    </w:p>
    <w:p>
      <w:pPr>
        <w:pStyle w:val="TextBody"/>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Montserra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5302</Words>
  <Characters>30974</Characters>
  <CharactersWithSpaces>35755</CharactersWithSpaces>
  <Paragraphs>1023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