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6"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4" w:lineRule="exact"/>
        <w:rPr>
          <w:sz w:val="24"/>
          <w:szCs w:val="24"/>
          <w:color w:val="auto"/>
        </w:rPr>
      </w:pPr>
    </w:p>
    <w:p>
      <w:pPr>
        <w:ind w:left="3580" w:right="2440" w:hanging="3248"/>
        <w:spacing w:after="0" w:line="411" w:lineRule="auto"/>
        <w:tabs>
          <w:tab w:leader="none" w:pos="634"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3"/>
          <w:szCs w:val="13"/>
          <w:color w:val="auto"/>
          <w:highlight w:val="black"/>
        </w:rPr>
      </w:pPr>
    </w:p>
    <w:p>
      <w:pPr>
        <w:ind w:left="3920"/>
        <w:spacing w:after="0"/>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Commission File Number 001-41721</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58"/>
        </w:trPr>
        <w:tc>
          <w:tcPr>
            <w:tcW w:w="3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40" w:type="dxa"/>
            <w:vAlign w:val="bottom"/>
            <w:gridSpan w:val="2"/>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6"/>
              </w:rPr>
              <w:t>Waystar Holding Corp.</w:t>
            </w:r>
          </w:p>
        </w:tc>
        <w:tc>
          <w:tcPr>
            <w:tcW w:w="3400" w:type="dxa"/>
            <w:vAlign w:val="bottom"/>
          </w:tcPr>
          <w:p>
            <w:pPr>
              <w:spacing w:after="0"/>
              <w:rPr>
                <w:sz w:val="22"/>
                <w:szCs w:val="22"/>
                <w:color w:val="auto"/>
              </w:rPr>
            </w:pPr>
          </w:p>
        </w:tc>
      </w:tr>
      <w:tr>
        <w:trPr>
          <w:trHeight w:val="178"/>
        </w:trPr>
        <w:tc>
          <w:tcPr>
            <w:tcW w:w="3440" w:type="dxa"/>
            <w:vAlign w:val="bottom"/>
          </w:tcPr>
          <w:p>
            <w:pPr>
              <w:spacing w:after="0"/>
              <w:rPr>
                <w:sz w:val="15"/>
                <w:szCs w:val="15"/>
                <w:color w:val="auto"/>
              </w:rPr>
            </w:pPr>
          </w:p>
        </w:tc>
        <w:tc>
          <w:tcPr>
            <w:tcW w:w="31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400" w:type="dxa"/>
            <w:vAlign w:val="bottom"/>
          </w:tcPr>
          <w:p>
            <w:pPr>
              <w:spacing w:after="0"/>
              <w:rPr>
                <w:sz w:val="15"/>
                <w:szCs w:val="15"/>
                <w:color w:val="auto"/>
              </w:rPr>
            </w:pPr>
          </w:p>
        </w:tc>
      </w:tr>
      <w:tr>
        <w:trPr>
          <w:trHeight w:val="213"/>
        </w:trPr>
        <w:tc>
          <w:tcPr>
            <w:tcW w:w="3440" w:type="dxa"/>
            <w:vAlign w:val="bottom"/>
          </w:tcPr>
          <w:p>
            <w:pPr>
              <w:jc w:val="center"/>
              <w:ind w:left="155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tcPr>
          <w:p>
            <w:pPr>
              <w:jc w:val="right"/>
              <w:ind w:right="2053"/>
              <w:spacing w:after="0"/>
              <w:rPr>
                <w:sz w:val="20"/>
                <w:szCs w:val="20"/>
                <w:color w:val="auto"/>
              </w:rPr>
            </w:pPr>
            <w:r>
              <w:rPr>
                <w:rFonts w:ascii="Times New Roman" w:cs="Times New Roman" w:eastAsia="Times New Roman" w:hAnsi="Times New Roman"/>
                <w:sz w:val="13"/>
                <w:szCs w:val="13"/>
                <w:b w:val="1"/>
                <w:bCs w:val="1"/>
                <w:color w:val="auto"/>
              </w:rPr>
              <w:t>84-2886542</w:t>
            </w:r>
          </w:p>
        </w:tc>
      </w:tr>
      <w:tr>
        <w:trPr>
          <w:trHeight w:val="148"/>
        </w:trPr>
        <w:tc>
          <w:tcPr>
            <w:tcW w:w="3440" w:type="dxa"/>
            <w:vAlign w:val="bottom"/>
          </w:tcPr>
          <w:p>
            <w:pPr>
              <w:jc w:val="center"/>
              <w:ind w:left="157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0" w:type="dxa"/>
            <w:vAlign w:val="bottom"/>
          </w:tcPr>
          <w:p>
            <w:pPr>
              <w:jc w:val="center"/>
              <w:ind w:right="143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48"/>
        </w:trPr>
        <w:tc>
          <w:tcPr>
            <w:tcW w:w="3440" w:type="dxa"/>
            <w:vAlign w:val="bottom"/>
          </w:tcPr>
          <w:p>
            <w:pPr>
              <w:jc w:val="center"/>
              <w:ind w:left="157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0" w:type="dxa"/>
            <w:vAlign w:val="bottom"/>
          </w:tcPr>
          <w:p>
            <w:pPr>
              <w:jc w:val="center"/>
              <w:ind w:right="143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148"/>
        </w:trPr>
        <w:tc>
          <w:tcPr>
            <w:tcW w:w="3440" w:type="dxa"/>
            <w:vAlign w:val="bottom"/>
          </w:tcPr>
          <w:p>
            <w:pPr>
              <w:jc w:val="center"/>
              <w:ind w:left="1553"/>
              <w:spacing w:after="0"/>
              <w:rPr>
                <w:sz w:val="20"/>
                <w:szCs w:val="20"/>
                <w:color w:val="auto"/>
              </w:rPr>
            </w:pPr>
            <w:r>
              <w:rPr>
                <w:rFonts w:ascii="Times New Roman" w:cs="Times New Roman" w:eastAsia="Times New Roman" w:hAnsi="Times New Roman"/>
                <w:sz w:val="13"/>
                <w:szCs w:val="13"/>
                <w:b w:val="1"/>
                <w:bCs w:val="1"/>
                <w:color w:val="auto"/>
              </w:rPr>
              <w:t>1550 Digital Drive, #300</w:t>
            </w: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0" w:type="dxa"/>
            <w:vAlign w:val="bottom"/>
          </w:tcPr>
          <w:p>
            <w:pPr>
              <w:jc w:val="right"/>
              <w:ind w:right="2213"/>
              <w:spacing w:after="0"/>
              <w:rPr>
                <w:sz w:val="20"/>
                <w:szCs w:val="20"/>
                <w:color w:val="auto"/>
              </w:rPr>
            </w:pPr>
            <w:r>
              <w:rPr>
                <w:rFonts w:ascii="Times New Roman" w:cs="Times New Roman" w:eastAsia="Times New Roman" w:hAnsi="Times New Roman"/>
                <w:sz w:val="13"/>
                <w:szCs w:val="13"/>
                <w:b w:val="1"/>
                <w:bCs w:val="1"/>
                <w:color w:val="auto"/>
              </w:rPr>
              <w:t>84043</w:t>
            </w:r>
          </w:p>
        </w:tc>
      </w:tr>
      <w:tr>
        <w:trPr>
          <w:trHeight w:val="149"/>
        </w:trPr>
        <w:tc>
          <w:tcPr>
            <w:tcW w:w="3440" w:type="dxa"/>
            <w:vAlign w:val="bottom"/>
          </w:tcPr>
          <w:p>
            <w:pPr>
              <w:jc w:val="center"/>
              <w:ind w:left="1553"/>
              <w:spacing w:after="0"/>
              <w:rPr>
                <w:sz w:val="20"/>
                <w:szCs w:val="20"/>
                <w:color w:val="auto"/>
              </w:rPr>
            </w:pPr>
            <w:r>
              <w:rPr>
                <w:rFonts w:ascii="Times New Roman" w:cs="Times New Roman" w:eastAsia="Times New Roman" w:hAnsi="Times New Roman"/>
                <w:sz w:val="13"/>
                <w:szCs w:val="13"/>
                <w:b w:val="1"/>
                <w:bCs w:val="1"/>
                <w:color w:val="auto"/>
              </w:rPr>
              <w:t>Lehi, Utah</w:t>
            </w: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178"/>
        </w:trPr>
        <w:tc>
          <w:tcPr>
            <w:tcW w:w="6540" w:type="dxa"/>
            <w:vAlign w:val="bottom"/>
            <w:gridSpan w:val="4"/>
          </w:tcPr>
          <w:p>
            <w:pPr>
              <w:jc w:val="center"/>
              <w:ind w:right="14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00" w:type="dxa"/>
            <w:vAlign w:val="bottom"/>
          </w:tcPr>
          <w:p>
            <w:pPr>
              <w:jc w:val="center"/>
              <w:ind w:right="143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17"/>
        </w:trPr>
        <w:tc>
          <w:tcPr>
            <w:tcW w:w="3440" w:type="dxa"/>
            <w:vAlign w:val="bottom"/>
          </w:tcPr>
          <w:p>
            <w:pPr>
              <w:spacing w:after="0"/>
              <w:rPr>
                <w:sz w:val="18"/>
                <w:szCs w:val="18"/>
                <w:color w:val="auto"/>
              </w:rPr>
            </w:pPr>
          </w:p>
        </w:tc>
        <w:tc>
          <w:tcPr>
            <w:tcW w:w="2260" w:type="dxa"/>
            <w:vAlign w:val="bottom"/>
            <w:gridSpan w:val="2"/>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rPr>
              <w:t>(844) 492-9782</w:t>
            </w:r>
          </w:p>
        </w:tc>
        <w:tc>
          <w:tcPr>
            <w:tcW w:w="8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74"/>
        </w:trPr>
        <w:tc>
          <w:tcPr>
            <w:tcW w:w="3440" w:type="dxa"/>
            <w:vAlign w:val="bottom"/>
          </w:tcPr>
          <w:p>
            <w:pPr>
              <w:spacing w:after="0"/>
              <w:rPr>
                <w:sz w:val="15"/>
                <w:szCs w:val="15"/>
                <w:color w:val="auto"/>
              </w:rPr>
            </w:pPr>
          </w:p>
        </w:tc>
        <w:tc>
          <w:tcPr>
            <w:tcW w:w="31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400" w:type="dxa"/>
            <w:vAlign w:val="bottom"/>
          </w:tcPr>
          <w:p>
            <w:pPr>
              <w:spacing w:after="0"/>
              <w:rPr>
                <w:sz w:val="15"/>
                <w:szCs w:val="15"/>
                <w:color w:val="auto"/>
              </w:rPr>
            </w:pPr>
          </w:p>
        </w:tc>
      </w:tr>
      <w:tr>
        <w:trPr>
          <w:trHeight w:val="257"/>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0" w:type="dxa"/>
            <w:vAlign w:val="bottom"/>
          </w:tcPr>
          <w:p>
            <w:pPr>
              <w:spacing w:after="0"/>
              <w:rPr>
                <w:sz w:val="22"/>
                <w:szCs w:val="22"/>
                <w:color w:val="auto"/>
              </w:rPr>
            </w:pPr>
          </w:p>
        </w:tc>
      </w:tr>
      <w:tr>
        <w:trPr>
          <w:trHeight w:val="95"/>
        </w:trPr>
        <w:tc>
          <w:tcPr>
            <w:tcW w:w="3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r>
      <w:tr>
        <w:trPr>
          <w:trHeight w:val="142"/>
        </w:trPr>
        <w:tc>
          <w:tcPr>
            <w:tcW w:w="3440" w:type="dxa"/>
            <w:vAlign w:val="bottom"/>
            <w:tcBorders>
              <w:left w:val="single" w:sz="8" w:color="auto"/>
              <w:bottom w:val="single" w:sz="8" w:color="auto"/>
            </w:tcBorders>
          </w:tcPr>
          <w:p>
            <w:pPr>
              <w:jc w:val="center"/>
              <w:ind w:left="393"/>
              <w:spacing w:after="0" w:line="142" w:lineRule="exact"/>
              <w:rPr>
                <w:sz w:val="20"/>
                <w:szCs w:val="20"/>
                <w:color w:val="auto"/>
              </w:rPr>
            </w:pPr>
            <w:r>
              <w:rPr>
                <w:rFonts w:ascii="Times New Roman" w:cs="Times New Roman" w:eastAsia="Times New Roman" w:hAnsi="Times New Roman"/>
                <w:sz w:val="13"/>
                <w:szCs w:val="13"/>
                <w:color w:val="auto"/>
              </w:rPr>
              <w:t>Title of each class</w:t>
            </w:r>
          </w:p>
        </w:tc>
        <w:tc>
          <w:tcPr>
            <w:tcW w:w="4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Trading Symbol(s)</w:t>
            </w:r>
          </w:p>
        </w:tc>
        <w:tc>
          <w:tcPr>
            <w:tcW w:w="84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jc w:val="center"/>
              <w:ind w:right="793"/>
              <w:spacing w:after="0" w:line="142"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42"/>
        </w:trPr>
        <w:tc>
          <w:tcPr>
            <w:tcW w:w="3440" w:type="dxa"/>
            <w:vAlign w:val="bottom"/>
            <w:tcBorders>
              <w:left w:val="single" w:sz="8" w:color="auto"/>
              <w:bottom w:val="single" w:sz="8" w:color="auto"/>
            </w:tcBorders>
          </w:tcPr>
          <w:p>
            <w:pPr>
              <w:jc w:val="center"/>
              <w:ind w:left="393"/>
              <w:spacing w:after="0" w:line="142"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4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WAY</w:t>
            </w:r>
          </w:p>
        </w:tc>
        <w:tc>
          <w:tcPr>
            <w:tcW w:w="84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jc w:val="center"/>
              <w:ind w:right="793"/>
              <w:spacing w:after="0" w:line="142" w:lineRule="exact"/>
              <w:rPr>
                <w:sz w:val="20"/>
                <w:szCs w:val="20"/>
                <w:color w:val="auto"/>
              </w:rPr>
            </w:pPr>
            <w:r>
              <w:rPr>
                <w:rFonts w:ascii="Times New Roman" w:cs="Times New Roman" w:eastAsia="Times New Roman" w:hAnsi="Times New Roman"/>
                <w:sz w:val="13"/>
                <w:szCs w:val="13"/>
                <w:b w:val="1"/>
                <w:bCs w:val="1"/>
                <w:color w:val="auto"/>
              </w:rPr>
              <w:t>Nasdaq Global Select Market</w:t>
            </w:r>
          </w:p>
        </w:tc>
      </w:tr>
    </w:tbl>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63" w:lineRule="exact"/>
        <w:rPr>
          <w:sz w:val="24"/>
          <w:szCs w:val="24"/>
          <w:color w:val="auto"/>
        </w:rPr>
      </w:pPr>
    </w:p>
    <w:p>
      <w:pPr>
        <w:ind w:right="2540"/>
        <w:spacing w:after="0" w:line="228"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Indicated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w:t>
      </w:r>
    </w:p>
    <w:p>
      <w:pPr>
        <w:spacing w:after="0" w:line="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5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000" w:type="dxa"/>
            <w:vAlign w:val="bottom"/>
          </w:tcPr>
          <w:p>
            <w:pPr>
              <w:ind w:left="152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Accelerated filer</w:t>
            </w:r>
          </w:p>
        </w:tc>
        <w:tc>
          <w:tcPr>
            <w:tcW w:w="1500" w:type="dxa"/>
            <w:vAlign w:val="bottom"/>
          </w:tcPr>
          <w:p>
            <w:pPr>
              <w:ind w:left="1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000" w:type="dxa"/>
            <w:vAlign w:val="bottom"/>
          </w:tcPr>
          <w:p>
            <w:pPr>
              <w:ind w:left="152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500" w:type="dxa"/>
            <w:vAlign w:val="bottom"/>
          </w:tcPr>
          <w:p>
            <w:pPr>
              <w:ind w:left="1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500" w:type="dxa"/>
            <w:vAlign w:val="bottom"/>
          </w:tcPr>
          <w:p>
            <w:pPr>
              <w:ind w:left="13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1" w:lineRule="exact"/>
        <w:rPr>
          <w:sz w:val="24"/>
          <w:szCs w:val="24"/>
          <w:color w:val="auto"/>
        </w:rPr>
      </w:pPr>
    </w:p>
    <w:p>
      <w:pPr>
        <w:ind w:right="5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8"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8" w:lineRule="exact"/>
        <w:rPr>
          <w:sz w:val="24"/>
          <w:szCs w:val="24"/>
          <w:color w:val="auto"/>
        </w:rPr>
      </w:pPr>
    </w:p>
    <w:p>
      <w:pPr>
        <w:ind w:right="1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4"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5" w:lineRule="exact"/>
        <w:rPr>
          <w:sz w:val="24"/>
          <w:szCs w:val="24"/>
          <w:color w:val="auto"/>
        </w:rPr>
      </w:pPr>
    </w:p>
    <w:p>
      <w:pPr>
        <w:ind w:right="40"/>
        <w:spacing w:after="0" w:line="251" w:lineRule="auto"/>
        <w:rPr>
          <w:sz w:val="20"/>
          <w:szCs w:val="20"/>
          <w:color w:val="auto"/>
        </w:rPr>
      </w:pPr>
      <w:r>
        <w:rPr>
          <w:rFonts w:ascii="Times New Roman" w:cs="Times New Roman" w:eastAsia="Times New Roman" w:hAnsi="Times New Roman"/>
          <w:sz w:val="13"/>
          <w:szCs w:val="13"/>
          <w:color w:val="auto"/>
        </w:rPr>
        <w:t>As of June 30, 2024, the aggregate market value of the registrant’s outstanding common stock held by non-affiliates was $1,010,020,722 based on the closing price of the registrant’s common stock on June 28, 2024, the last business day of the registrant’s most recently completed second fiscal quarter. For purpose of this calculation shares of common stock held by each executive officer and directors and certain significant stockholders have been excluded since those persons may under certain circumstances be deemed affiliates. This determination of affiliate status is not necessarily a conclusive determination for other purposes.</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registrant had 172,151,839 shares of common stock outstanding as of February 12, 2025.</w:t>
      </w:r>
    </w:p>
    <w:p>
      <w:pPr>
        <w:spacing w:after="0" w:line="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84" w:lineRule="exact"/>
        <w:rPr>
          <w:sz w:val="24"/>
          <w:szCs w:val="24"/>
          <w:color w:val="auto"/>
        </w:rPr>
      </w:pPr>
    </w:p>
    <w:p>
      <w:pPr>
        <w:ind w:right="280"/>
        <w:spacing w:after="0" w:line="278" w:lineRule="auto"/>
        <w:rPr>
          <w:sz w:val="20"/>
          <w:szCs w:val="20"/>
          <w:color w:val="auto"/>
        </w:rPr>
      </w:pPr>
      <w:r>
        <w:rPr>
          <w:rFonts w:ascii="Times New Roman" w:cs="Times New Roman" w:eastAsia="Times New Roman" w:hAnsi="Times New Roman"/>
          <w:sz w:val="13"/>
          <w:szCs w:val="13"/>
          <w:color w:val="auto"/>
        </w:rPr>
        <w:t>Part III incorporates certain information by reference from the registrant’s definitive proxy statement for the 2025 annual meeting of shareholders, which will be filed no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62230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r>
      <w:tr>
        <w:trPr>
          <w:trHeight w:val="777"/>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gridSpan w:val="17"/>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Glossary</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9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 and Summary of 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412"/>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820" w:type="dxa"/>
            <w:vAlign w:val="bottom"/>
            <w:tcBorders>
              <w:top w:val="single" w:sz="8" w:color="0000EE"/>
            </w:tcBorders>
            <w:gridSpan w:val="6"/>
          </w:tcPr>
          <w:p>
            <w:pPr>
              <w:spacing w:after="0"/>
              <w:rPr>
                <w:sz w:val="24"/>
                <w:szCs w:val="24"/>
                <w:color w:val="auto"/>
              </w:rPr>
            </w:pPr>
          </w:p>
        </w:tc>
        <w:tc>
          <w:tcPr>
            <w:tcW w:w="24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gridSpan w:val="2"/>
          </w:tcPr>
          <w:p>
            <w:pPr>
              <w:spacing w:after="0"/>
              <w:rPr>
                <w:sz w:val="24"/>
                <w:szCs w:val="24"/>
                <w:color w:val="auto"/>
              </w:rPr>
            </w:pPr>
          </w:p>
        </w:tc>
        <w:tc>
          <w:tcPr>
            <w:tcW w:w="8580" w:type="dxa"/>
            <w:vAlign w:val="bottom"/>
            <w:gridSpan w:val="30"/>
          </w:tcPr>
          <w:p>
            <w:pPr>
              <w:ind w:left="100"/>
              <w:spacing w:after="0"/>
              <w:rPr>
                <w:sz w:val="20"/>
                <w:szCs w:val="20"/>
                <w:color w:val="auto"/>
              </w:rPr>
            </w:pPr>
            <w:r>
              <w:rPr>
                <w:rFonts w:ascii="Times New Roman" w:cs="Times New Roman" w:eastAsia="Times New Roman" w:hAnsi="Times New Roman"/>
                <w:sz w:val="18"/>
                <w:szCs w:val="18"/>
                <w:color w:val="0000EE"/>
              </w:rPr>
              <w:t>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412"/>
        </w:trPr>
        <w:tc>
          <w:tcPr>
            <w:tcW w:w="5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220"/>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80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gridSpan w:val="2"/>
          </w:tcPr>
          <w:p>
            <w:pPr>
              <w:spacing w:after="0"/>
              <w:rPr>
                <w:sz w:val="24"/>
                <w:szCs w:val="24"/>
                <w:color w:val="auto"/>
              </w:rPr>
            </w:pPr>
          </w:p>
        </w:tc>
        <w:tc>
          <w:tcPr>
            <w:tcW w:w="8580" w:type="dxa"/>
            <w:vAlign w:val="bottom"/>
            <w:gridSpan w:val="30"/>
          </w:tcPr>
          <w:p>
            <w:pPr>
              <w:ind w:left="100"/>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Qualitative and Quantitative Disclosures About Market Risk</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120" w:type="dxa"/>
            <w:vAlign w:val="bottom"/>
            <w:gridSpan w:val="2"/>
          </w:tcPr>
          <w:p>
            <w:pPr>
              <w:spacing w:after="0"/>
              <w:rPr>
                <w:sz w:val="17"/>
                <w:szCs w:val="17"/>
                <w:color w:val="auto"/>
              </w:rPr>
            </w:pP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412"/>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600" w:type="dxa"/>
            <w:vAlign w:val="bottom"/>
            <w:tcBorders>
              <w:top w:val="single" w:sz="8" w:color="0000EE"/>
            </w:tcBorders>
          </w:tcPr>
          <w:p>
            <w:pPr>
              <w:spacing w:after="0"/>
              <w:rPr>
                <w:sz w:val="24"/>
                <w:szCs w:val="24"/>
                <w:color w:val="auto"/>
              </w:rPr>
            </w:pPr>
          </w:p>
        </w:tc>
        <w:tc>
          <w:tcPr>
            <w:tcW w:w="352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10.</w:t>
            </w:r>
          </w:p>
        </w:tc>
        <w:tc>
          <w:tcPr>
            <w:tcW w:w="8580" w:type="dxa"/>
            <w:vAlign w:val="bottom"/>
            <w:gridSpan w:val="30"/>
          </w:tcPr>
          <w:p>
            <w:pPr>
              <w:ind w:left="10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11</w:t>
            </w:r>
            <w:r>
              <w:rPr>
                <w:rFonts w:ascii="Times New Roman" w:cs="Times New Roman" w:eastAsia="Times New Roman" w:hAnsi="Times New Roman"/>
                <w:sz w:val="18"/>
                <w:szCs w:val="18"/>
                <w:color w:val="000000"/>
              </w:rPr>
              <w:t>.</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412"/>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IV</w:t>
            </w:r>
          </w:p>
        </w:tc>
        <w:tc>
          <w:tcPr>
            <w:tcW w:w="418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15.</w:t>
            </w:r>
          </w:p>
        </w:tc>
        <w:tc>
          <w:tcPr>
            <w:tcW w:w="8580" w:type="dxa"/>
            <w:vAlign w:val="bottom"/>
            <w:gridSpan w:val="30"/>
          </w:tcPr>
          <w:p>
            <w:pPr>
              <w:ind w:left="100"/>
              <w:spacing w:after="0"/>
              <w:rPr>
                <w:sz w:val="20"/>
                <w:szCs w:val="20"/>
                <w:color w:val="auto"/>
              </w:rPr>
            </w:pPr>
            <w:r>
              <w:rPr>
                <w:rFonts w:ascii="Times New Roman" w:cs="Times New Roman" w:eastAsia="Times New Roman" w:hAnsi="Times New Roman"/>
                <w:sz w:val="18"/>
                <w:szCs w:val="18"/>
                <w:color w:val="0000EE"/>
              </w:rPr>
              <w:t>Exhibits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94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8580" w:type="dxa"/>
            <w:vAlign w:val="bottom"/>
            <w:gridSpan w:val="30"/>
          </w:tcPr>
          <w:p>
            <w:pPr>
              <w:ind w:left="10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94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92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20"/>
          </w:cols>
          <w:pgMar w:left="980" w:top="500"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apply to these terms as used in this Annual Report on Form 10-K:</w:t>
      </w:r>
    </w:p>
    <w:p>
      <w:pPr>
        <w:spacing w:after="0" w:line="225"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“AI” means artificial intelligence;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means those certain investment funds of Bain Capital, LP and its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“CPPIB” means Canada Pension Plan Investment Board;</w:t>
      </w:r>
    </w:p>
    <w:p>
      <w:pPr>
        <w:spacing w:after="0" w:line="238" w:lineRule="exact"/>
        <w:rPr>
          <w:rFonts w:ascii="Times New Roman" w:cs="Times New Roman" w:eastAsia="Times New Roman" w:hAnsi="Times New Roman"/>
          <w:sz w:val="18"/>
          <w:szCs w:val="18"/>
          <w:color w:val="auto"/>
        </w:rPr>
      </w:pPr>
    </w:p>
    <w:p>
      <w:pPr>
        <w:ind w:left="1000" w:right="260" w:hanging="317"/>
        <w:spacing w:after="0" w:line="29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Facilities” means, collectively, the First Lien Credit Facility, the Revolving Credit Facility, and the Receivables Facility;</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9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“Derby Topco” means Derby TopCo Partnership LP, our direct parent entity prior to the Equity Distribution, in which the Institutional Investors, other equity holders, and certain members of management previously held equity interests;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Delaware General Corporation Law, as amended;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“EQT” means those certain investment funds of EQT AB and its affiliates;</w:t>
      </w:r>
    </w:p>
    <w:p>
      <w:pPr>
        <w:spacing w:after="0" w:line="238" w:lineRule="exact"/>
        <w:rPr>
          <w:rFonts w:ascii="Times New Roman" w:cs="Times New Roman" w:eastAsia="Times New Roman" w:hAnsi="Times New Roman"/>
          <w:sz w:val="18"/>
          <w:szCs w:val="18"/>
          <w:color w:val="auto"/>
        </w:rPr>
      </w:pPr>
    </w:p>
    <w:p>
      <w:pPr>
        <w:ind w:left="1000" w:right="40" w:hanging="317"/>
        <w:spacing w:after="0" w:line="27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“Equity Distribution” means the distribution of shares of common stock of the Company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common stock of the Company;</w:t>
      </w:r>
    </w:p>
    <w:p>
      <w:pPr>
        <w:spacing w:after="0" w:line="18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Credit Facility” means the term loan credit facility under the first lien credit agreement, dated as of October 22, 2019, by and among Waystar Technologies, Inc. and the lenders party thereto, as amended from time to time;</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U.S. generally accepted accounting principles;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means EQT, CPPIB, and Bain, and their respective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“JOBS Act” means the U.S. Jumpstart Our Business Startups Act of 2012, as amended;</w:t>
      </w:r>
    </w:p>
    <w:p>
      <w:pPr>
        <w:spacing w:after="0" w:line="238" w:lineRule="exact"/>
        <w:rPr>
          <w:rFonts w:ascii="Times New Roman" w:cs="Times New Roman" w:eastAsia="Times New Roman" w:hAnsi="Times New Roman"/>
          <w:sz w:val="18"/>
          <w:szCs w:val="18"/>
          <w:color w:val="auto"/>
        </w:rPr>
      </w:pPr>
    </w:p>
    <w:p>
      <w:pPr>
        <w:ind w:left="1000" w:right="180" w:hanging="317"/>
        <w:spacing w:after="0" w:line="27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means the total amount invoiced to clients in a given twelve-month period divided by the total amount invoiced to those same clients from the prior twelve-month period. See Part II, Item 7, “Management’s Discussion and Analysis of Financial Condition and Results of Operations—Key Performance Metrics and non-GAAP Financial Measures—Net Revenue Retention Rate;”</w:t>
      </w:r>
    </w:p>
    <w:p>
      <w:pPr>
        <w:spacing w:after="0" w:line="181" w:lineRule="exact"/>
        <w:rPr>
          <w:rFonts w:ascii="Times New Roman" w:cs="Times New Roman" w:eastAsia="Times New Roman" w:hAnsi="Times New Roman"/>
          <w:sz w:val="18"/>
          <w:szCs w:val="18"/>
          <w:color w:val="auto"/>
        </w:rPr>
      </w:pPr>
    </w:p>
    <w:p>
      <w:pPr>
        <w:ind w:left="1000" w:right="100" w:hanging="317"/>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Facility” means the revolving credit facility under the first lien credit agreement, dated as of October 22, 2019, by and among Waystar Technologies, Inc. and the lenders party thereto, as amended from time to time;</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38" w:lineRule="exact"/>
        <w:rPr>
          <w:rFonts w:ascii="Times New Roman" w:cs="Times New Roman" w:eastAsia="Times New Roman" w:hAnsi="Times New Roman"/>
          <w:sz w:val="18"/>
          <w:szCs w:val="18"/>
          <w:color w:val="auto"/>
        </w:rPr>
      </w:pPr>
    </w:p>
    <w:p>
      <w:pPr>
        <w:ind w:left="1000" w:right="140" w:hanging="317"/>
        <w:spacing w:after="0" w:line="329"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Lien Credit Facility” means the term loan credit facility under the second lien credit agreement, dated as of October 22, 2019, by and among Waystar Technologies, Inc. and the lenders party thereto, as amended from time to time;</w:t>
      </w:r>
    </w:p>
    <w:p>
      <w:pPr>
        <w:spacing w:after="0" w:line="139"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U.S. Securities Act of 1933, as amended;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“SOFR” means the Secured Overnight Financing Rate;</w:t>
      </w:r>
    </w:p>
    <w:p>
      <w:pPr>
        <w:spacing w:after="0" w:line="238" w:lineRule="exact"/>
        <w:rPr>
          <w:rFonts w:ascii="Times New Roman" w:cs="Times New Roman" w:eastAsia="Times New Roman" w:hAnsi="Times New Roman"/>
          <w:sz w:val="18"/>
          <w:szCs w:val="18"/>
          <w:color w:val="auto"/>
        </w:rPr>
      </w:pPr>
    </w:p>
    <w:p>
      <w:pPr>
        <w:ind w:left="1000" w:right="220" w:hanging="317"/>
        <w:spacing w:after="0" w:line="29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Agreement” means the stockholders agreement, dated as of June 10, 2024, by and among the Institutional Investors, certain stockholders, and certain members of management; and</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“Waystar,” the “Company,” “we,” “us,” and “our” mean the business of Waystar Holding Corp. and its subsidiaries.</w:t>
      </w:r>
    </w:p>
    <w:p>
      <w:pPr>
        <w:spacing w:after="0" w:line="2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Summary of Risk Factors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89"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in a highly competitive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 and attract new clients;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business strategies in order to grow;</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assess the risks related to acquisitions and successfully integrate acquired businesses;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relationships;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clients and overall healthcare transaction volumes;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selling cycle of variable length to secure new client agreements;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cycle that is dependent on our clients’ timing and resources;</w:t>
      </w:r>
    </w:p>
    <w:p>
      <w:pPr>
        <w:spacing w:after="0" w:line="238" w:lineRule="exact"/>
        <w:rPr>
          <w:rFonts w:ascii="Times New Roman" w:cs="Times New Roman" w:eastAsia="Times New Roman" w:hAnsi="Times New Roman"/>
          <w:sz w:val="18"/>
          <w:szCs w:val="18"/>
          <w:color w:val="auto"/>
        </w:rPr>
      </w:pPr>
    </w:p>
    <w:p>
      <w:pPr>
        <w:ind w:left="1000" w:right="34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certain key employees, and our ability to attract and retain highly skilled employees;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estimates and assumptions we use to determine the size of our total addressable market;</w:t>
      </w:r>
    </w:p>
    <w:p>
      <w:pPr>
        <w:spacing w:after="0" w:line="238" w:lineRule="exact"/>
        <w:rPr>
          <w:rFonts w:ascii="Times New Roman" w:cs="Times New Roman" w:eastAsia="Times New Roman" w:hAnsi="Times New Roman"/>
          <w:sz w:val="18"/>
          <w:szCs w:val="18"/>
          <w:color w:val="auto"/>
        </w:rPr>
      </w:pPr>
    </w:p>
    <w:p>
      <w:pPr>
        <w:ind w:left="1000" w:right="6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solutions, or enhance our existing solutions, to respond to technological changes, or evolving industry standards;</w:t>
      </w:r>
    </w:p>
    <w:p>
      <w:pPr>
        <w:spacing w:after="0" w:line="162" w:lineRule="exact"/>
        <w:rPr>
          <w:rFonts w:ascii="Times New Roman" w:cs="Times New Roman" w:eastAsia="Times New Roman" w:hAnsi="Times New Roman"/>
          <w:sz w:val="18"/>
          <w:szCs w:val="18"/>
          <w:color w:val="auto"/>
        </w:rPr>
      </w:pPr>
    </w:p>
    <w:p>
      <w:pPr>
        <w:ind w:left="1000" w:right="6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interoperability, connectivity, and integration of our solutions with our clients’ and their vendors’ networks and infrastructures;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internet, mobile, and other infrastructure;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if we cannot obtain, process, use, disclose, or distribute the highly regulated data we require to provide our solutions;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third-party vendors and providers;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errors or malfunctions in our products and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to obtain proper permissions or provide us with accurate and appropriate information;</w:t>
      </w:r>
    </w:p>
    <w:p>
      <w:pPr>
        <w:spacing w:after="0" w:line="238" w:lineRule="exact"/>
        <w:rPr>
          <w:rFonts w:ascii="Times New Roman" w:cs="Times New Roman" w:eastAsia="Times New Roman" w:hAnsi="Times New Roman"/>
          <w:sz w:val="18"/>
          <w:szCs w:val="18"/>
          <w:color w:val="auto"/>
        </w:rPr>
      </w:pPr>
    </w:p>
    <w:p>
      <w:pPr>
        <w:ind w:left="1000" w:right="20" w:hanging="317"/>
        <w:spacing w:after="0" w:line="329"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embezzlement, identity theft, or other similar illegal behavior by our employees or vendors, and a failure of our employees or vendors to observe quality standards or adhere to environmental, social, and governance standards;</w:t>
      </w:r>
    </w:p>
    <w:p>
      <w:pPr>
        <w:spacing w:after="0" w:line="139" w:lineRule="exact"/>
        <w:rPr>
          <w:rFonts w:ascii="Times New Roman" w:cs="Times New Roman" w:eastAsia="Times New Roman" w:hAnsi="Times New Roman"/>
          <w:sz w:val="17"/>
          <w:szCs w:val="17"/>
          <w:color w:val="auto"/>
        </w:rPr>
      </w:pPr>
    </w:p>
    <w:p>
      <w:pPr>
        <w:ind w:left="1000" w:right="4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applicable rules of the National Automated Clearing House Association and the applicable requirements of card networks;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card network fees and other changes to fee arrangements;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payer and provider conduct which we cannot control;</w:t>
      </w:r>
    </w:p>
    <w:p>
      <w:pPr>
        <w:spacing w:after="0" w:line="238" w:lineRule="exact"/>
        <w:rPr>
          <w:rFonts w:ascii="Times New Roman" w:cs="Times New Roman" w:eastAsia="Times New Roman" w:hAnsi="Times New Roman"/>
          <w:sz w:val="18"/>
          <w:szCs w:val="18"/>
          <w:color w:val="auto"/>
        </w:rPr>
      </w:pPr>
    </w:p>
    <w:p>
      <w:pPr>
        <w:ind w:left="1000" w:right="1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and security breaches or incidents relating to our platform or data (including personal information and other regulated data);</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 and evolving laws and regulations regarding privacy, data protection, and cybersecurity;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and enforce our intellectual property rights;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or license data and integrate third-party technologies;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or otherwise violating their intellectual property rights;</w:t>
      </w:r>
    </w:p>
    <w:p>
      <w:pPr>
        <w:spacing w:after="0" w:line="162" w:lineRule="exact"/>
        <w:rPr>
          <w:rFonts w:ascii="Times New Roman" w:cs="Times New Roman" w:eastAsia="Times New Roman" w:hAnsi="Times New Roman"/>
          <w:sz w:val="18"/>
          <w:szCs w:val="18"/>
          <w:color w:val="auto"/>
        </w:rPr>
      </w:pPr>
    </w:p>
    <w:p>
      <w:pPr>
        <w:ind w:left="1000" w:right="5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our employees, consultants, or independent contractors have wrongfully used or disclosed confidential information of third parties;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heavily regulated industry in which we conduct business;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healthcare regulatory and political framework;</w:t>
      </w:r>
    </w:p>
    <w:p>
      <w:pPr>
        <w:spacing w:after="0" w:line="238" w:lineRule="exact"/>
        <w:rPr>
          <w:rFonts w:ascii="Times New Roman" w:cs="Times New Roman" w:eastAsia="Times New Roman" w:hAnsi="Times New Roman"/>
          <w:sz w:val="18"/>
          <w:szCs w:val="18"/>
          <w:color w:val="auto"/>
        </w:rPr>
      </w:pPr>
    </w:p>
    <w:p>
      <w:pPr>
        <w:ind w:left="1000" w:right="28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laws and data privacy and security laws and regulations governing our Processing of personal information (which may also be referred to as “personal data” or “personally identifiable information”);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revenues in response to changes to the healthcare regulatory landscape;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that could result in adverse outcomes;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 and regulations;</w:t>
      </w: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4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requiring compliance with certain provisions of Bank Secrecy Act/anti-money laundering laws and regulations;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laws that regulate our ability to engage in certain marketing activities;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compliance with website accessibility standards;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tax rates, the adoption of new tax legislation, or exposure to additional tax liabilities;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use our net operating losses to offset future taxable income;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asset impairment charges;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agreements governing our Credit Facilities;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additional capital on acceptable terms or at all;</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macroeconomic conditions;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our ability to achieve or maintain profitability;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Institutional Investors may be different than the interests of other holders of our securities;</w:t>
      </w:r>
    </w:p>
    <w:p>
      <w:pPr>
        <w:spacing w:after="0" w:line="238" w:lineRule="exact"/>
        <w:rPr>
          <w:rFonts w:ascii="Times New Roman" w:cs="Times New Roman" w:eastAsia="Times New Roman" w:hAnsi="Times New Roman"/>
          <w:sz w:val="18"/>
          <w:szCs w:val="18"/>
          <w:color w:val="auto"/>
        </w:rPr>
      </w:pPr>
    </w:p>
    <w:p>
      <w:pPr>
        <w:ind w:left="1000" w:right="28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and whether the reduced disclosure requirements applicable to “emerging growth companies” will make our common stock less attractive to investors; and</w:t>
      </w:r>
    </w:p>
    <w:p>
      <w:pPr>
        <w:spacing w:after="0" w:line="162" w:lineRule="exact"/>
        <w:rPr>
          <w:rFonts w:ascii="Times New Roman" w:cs="Times New Roman" w:eastAsia="Times New Roman" w:hAnsi="Times New Roman"/>
          <w:sz w:val="18"/>
          <w:szCs w:val="18"/>
          <w:color w:val="auto"/>
        </w:rPr>
      </w:pPr>
    </w:p>
    <w:p>
      <w:pPr>
        <w:ind w:left="1000" w:right="40" w:hanging="317"/>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elsewhere in this report, including under the headings “Management’s Discussion and Analysis of Financial Condition and Results of Operations,” “Quantitative and Qualitative Disclosures About Market Risk” and Part I, Item 1A, “Risk Factors,” or as described in the other documents and reports we file with the SEC.</w:t>
      </w:r>
    </w:p>
    <w:p>
      <w:pPr>
        <w:spacing w:after="0" w:line="17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simplify healthcare payments through our modern cloud-based software, enabling our healthcare clients to prioritize patient care and optimize their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internally developed AI as well as proprietary, advanced algorithms to automate payment-related workflow tasks and drive continuous improvement, which enhances claim and billing accuracy, enriches data integrity, and reduces labor costs for providers.</w:t>
      </w:r>
    </w:p>
    <w:p>
      <w:pPr>
        <w:spacing w:after="0" w:line="1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Put simply, our software helps providers get paid faster, accurately, and more efficiently, while ensuring patients receive a modern, transparent, and consumer-friendly financial experience.</w:t>
      </w:r>
    </w:p>
    <w:p>
      <w:pPr>
        <w:spacing w:after="0" w:line="1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healthcare payment ecosystem is highly complex, beginning with pre-service patient onboarding and extending through post-service revenue collection, with dozens of interdependent steps in between. Within this multi-step workflow, the process for determining how much a provider should be reimbursed involves millions of permutations of variables, such as over 10,000 diagnosis codes that are constantly changing and unique payer contracts, each with individual rules, processes, and reimbursement requirements. The burden borne by providers of tracking and managing all of these variables, coupled with a constantly evolving regulatory framework, often results in incorrect payments or denials that require time-consuming appeals procedures to resolve. Historically, healthcare providers have relied upon a patchwork of manual processes and systems to navigate these complexities and support their payment functions. However, this legacy approach has resulted in workflow delays, lost revenue, and slower time to payment. Our purpose- built software platform addresses these challenges and optimizes healthcare payments across all stages of the patient journey. Our clients utilize our software to manage pre-encounter workflows such as eligibility checks and prior authorization approvals, as well as mid- and post-encounter workflows such as co-pay collection, claims submission and monitoring, and payer remittances. Our software helps to avoid or reduce billing errors throughout the healthcare payment workflow, from pre-encounter eligibility verification to determine patient insurance eligibility and benefits prior to rendering service, to mid- and post-encounter solutions such as our revenue capture suite which identifies and resolves missing charges and errors in claims submissions by providers, our claims management suite which helps ensure submissions in accordance with payer contracts, and our denial avoidance solution which offers a root cause reporting tool for denied claims to help reduce preventable denials in the future.</w:t>
      </w:r>
    </w:p>
    <w:p>
      <w:pPr>
        <w:spacing w:after="0" w:line="1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the top 20 U.S. News Best Hospitals. Our client base is highly diversified, and for the year ended December 31, 2024, our top 10 clients accounted for only 11.2% of our total revenue for such period.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2024, we facilitated over six billion healthcare payments transactions, including over $1.8 trillion in gross claims volume. As of 2023, we facilitated healthcare payments transactions spanning approximately 50% of patients in the United States.</w:t>
      </w:r>
    </w:p>
    <w:p>
      <w:pPr>
        <w:spacing w:after="0" w:line="16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Healthcare is one of the largest and most complex vertical end-markets within the U.S. economy, accounting for 17.6% of the U.S. gross domestic product as of 2023. According to CMS, total U.S. healthcare spending was $4.9 trillion in 2023. National health expenditures are expected to grow 5.6% annually reaching $7.6 trillion in 2032, or 19.7% of GDP. According to the Journal of the American Medical Association, the annual cost of wasteful spending in healthcare has ranged from $760 billion to $935 billion in recent years, or nearly one-quarter of total healthcare spending. Of this, $350 billion is administrative- related, which is inclusive of healthcare payments-related waste.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Waystar platform is purpose-built to address the administrative headwinds faced by healthcare providers, including:</w:t>
      </w:r>
    </w:p>
    <w:p>
      <w:pPr>
        <w:spacing w:after="0" w:line="221" w:lineRule="exact"/>
        <w:rPr>
          <w:sz w:val="20"/>
          <w:szCs w:val="20"/>
          <w:color w:val="auto"/>
        </w:rPr>
      </w:pPr>
    </w:p>
    <w:p>
      <w:pPr>
        <w:ind w:left="1000" w:right="20" w:hanging="317"/>
        <w:spacing w:after="0" w:line="29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Antiquated, legacy technology systems and data silos</w:t>
      </w:r>
      <w:r>
        <w:rPr>
          <w:rFonts w:ascii="Times New Roman" w:cs="Times New Roman" w:eastAsia="Times New Roman" w:hAnsi="Times New Roman"/>
          <w:sz w:val="17"/>
          <w:szCs w:val="17"/>
          <w:color w:val="auto"/>
        </w:rPr>
        <w:t>. The historically slow pace of digital adoption by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organizations has led to a patchwork of disparate point-solutions. These software tools, most of which are hosted or installed on-premises, lack the interoperability and scalability of a modern cloud-based technology architecture, which is designed to enable the safe and efficient dissemination of critical information. This patchwork approach has also led to data silos, which inhibit transparency and data sharing and often result in denials or the inability to process claims efficiently.</w:t>
      </w:r>
    </w:p>
    <w:p>
      <w:pPr>
        <w:spacing w:after="0" w:line="182" w:lineRule="exact"/>
        <w:rPr>
          <w:rFonts w:ascii="Times New Roman" w:cs="Times New Roman" w:eastAsia="Times New Roman" w:hAnsi="Times New Roman"/>
          <w:sz w:val="17"/>
          <w:szCs w:val="17"/>
          <w:color w:val="auto"/>
        </w:rPr>
      </w:pPr>
    </w:p>
    <w:p>
      <w:pPr>
        <w:ind w:left="1000" w:right="280" w:hanging="317"/>
        <w:spacing w:after="0" w:line="28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Reliance on inefficient, manual processes</w:t>
      </w:r>
      <w:r>
        <w:rPr>
          <w:rFonts w:ascii="Times New Roman" w:cs="Times New Roman" w:eastAsia="Times New Roman" w:hAnsi="Times New Roman"/>
          <w:sz w:val="18"/>
          <w:szCs w:val="18"/>
          <w:color w:val="auto"/>
        </w:rPr>
        <w:t>. Poorly integrated legacy systems have led many healthcare organizations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 labor-dependent solutions to address the critical demands of their businesses, often resulting in suboptimal financial performance for providers and a substandard experience for patients.</w:t>
      </w:r>
    </w:p>
    <w:p>
      <w:pPr>
        <w:spacing w:after="0" w:line="169" w:lineRule="exact"/>
        <w:rPr>
          <w:rFonts w:ascii="Times New Roman" w:cs="Times New Roman" w:eastAsia="Times New Roman" w:hAnsi="Times New Roman"/>
          <w:sz w:val="18"/>
          <w:szCs w:val="18"/>
          <w:color w:val="auto"/>
        </w:rPr>
      </w:pPr>
    </w:p>
    <w:p>
      <w:pPr>
        <w:ind w:left="1000" w:hanging="317"/>
        <w:spacing w:after="0" w:line="27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Increasing labor and administrative costs</w:t>
      </w:r>
      <w:r>
        <w:rPr>
          <w:rFonts w:ascii="Times New Roman" w:cs="Times New Roman" w:eastAsia="Times New Roman" w:hAnsi="Times New Roman"/>
          <w:sz w:val="18"/>
          <w:szCs w:val="18"/>
          <w:color w:val="auto"/>
        </w:rPr>
        <w:t>. According to an American Hospital Association report, labor constituted 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hospital expenses in 2023. Hospital labor costs increased by $42.5 billion, reaching a total of $839 billion from 2021 to 2023. Over the period from 2014 to 2023, compensation for hospital employees has significantly outpaced overall inflation, with a 45% increase compared to a 28.7% rise in overall inflation.</w:t>
      </w:r>
    </w:p>
    <w:p>
      <w:pPr>
        <w:spacing w:after="0" w:line="174" w:lineRule="exact"/>
        <w:rPr>
          <w:rFonts w:ascii="Times New Roman" w:cs="Times New Roman" w:eastAsia="Times New Roman" w:hAnsi="Times New Roman"/>
          <w:sz w:val="18"/>
          <w:szCs w:val="18"/>
          <w:color w:val="auto"/>
        </w:rPr>
      </w:pPr>
    </w:p>
    <w:p>
      <w:pPr>
        <w:ind w:left="1000" w:right="20" w:hanging="317"/>
        <w:spacing w:after="0" w:line="269"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Reimbursement complexity and collection challenges</w:t>
      </w:r>
      <w:r>
        <w:rPr>
          <w:rFonts w:ascii="Times New Roman" w:cs="Times New Roman" w:eastAsia="Times New Roman" w:hAnsi="Times New Roman"/>
          <w:sz w:val="18"/>
          <w:szCs w:val="18"/>
          <w:color w:val="auto"/>
        </w:rPr>
        <w:t>. Determining reimbursement to a provider from a payer or a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dependent on a myriad of factors that are both highly complex and constantly evolving. According to KFF research, approximately 17% of 2021 healthcare claims were initially denied, leaving a significant unmet need for solutions that reduce denials, increase first pass acceptance, and simplify appeals. Providers bear the burden of navigating reimbursement obstacles, and missteps can ultimately result in lost revenue or delayed cash flow. In addition, healthcare providers often struggle to convert patient bills (i.e., patient responsibility) to cash payments as patients are also tasked with navigating ever-changing benefits policies and interacting with outdated technology.</w:t>
      </w:r>
    </w:p>
    <w:p>
      <w:pPr>
        <w:spacing w:after="0" w:line="185" w:lineRule="exact"/>
        <w:rPr>
          <w:rFonts w:ascii="Times New Roman" w:cs="Times New Roman" w:eastAsia="Times New Roman" w:hAnsi="Times New Roman"/>
          <w:sz w:val="18"/>
          <w:szCs w:val="18"/>
          <w:color w:val="auto"/>
        </w:rPr>
      </w:pPr>
    </w:p>
    <w:p>
      <w:pPr>
        <w:ind w:left="1000" w:right="20" w:hanging="317"/>
        <w:spacing w:after="0" w:line="269"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Accelerating consumer demand for digital tools</w:t>
      </w:r>
      <w:r>
        <w:rPr>
          <w:rFonts w:ascii="Times New Roman" w:cs="Times New Roman" w:eastAsia="Times New Roman" w:hAnsi="Times New Roman"/>
          <w:sz w:val="18"/>
          <w:szCs w:val="18"/>
          <w:color w:val="auto"/>
        </w:rPr>
        <w:t>. Patients are bearing a greater burden of healthcare costs than ever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more than 50% of American private industry workers enrolling in high deductible health plans according to U.S. Bureau of Labor Statistics data (2023). Out-of-pocket costs constituted 10% of total U.S. personal healthcare expenditures in 2023 according to CMS, and the estimated average patient lifetime spending is $1.4 million, based on a 2021 Health Management Academy Research report. Despite these trends, patients lack access to digital tools and accurate information for healthcare payments, such as transparency in insurance coverage and out-of-pocket cost estimates pre-service, as well as flexible payment arrangements to pay for care.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Over time, administrative workflows (e.g., human resources, information technology, accounting and finance, and customer service) that were traditionally insourced by healthcare providers have undergone a meaningful transformation. Seeking more effective solutions to address industry challenges, providers initially outsourced these functions to third-party specialized services vendors. However, with advances in technology infrastructure and cloud-based software, as well as increased interoperability between systems, providers are increasingly utilizing automated software solutions to further enhance efficiency. We believe the healthcare payments workflow is currently undergoing such an evolution, and that Waystar is well- positioned to benefit from providers gravitating towards more modern, software-oriented solutions.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estimate that our TAM with respect to our current software solution set was $15 billion in 2022. To estimate our market opportunity, we categorized the United States healthcare provider market into tiers based on setting of care and size of practice. We then applied our average pricing by product, accounting for pricing differences at varying sized providers, and multiplied the average product price by the corresponding practice count per setting of care to determine our TAM. Based on a third-party study commissioned by the Company, we believe our TAM has the potential to increase to almost $20 billion in 2027, reflecting a 5% CAGR from 2022 to 2027, driven by growth within healthcare payments (notably, in prior authorizations, patient payments, and revenue cycle management analytics), increased outsourcing in revenue cycle management, as well as secular technology tailwinds such as greater utilization of AI. We expect to expand our TAM further over time as we develop new solutions and address adjacent workflows. We believe we have consistently grown in excess of the market since 2016 and expect we will continue to grow our market share in the future by virtue of our differentiated platform and capabilities. We believe the market share of our solutions within the hospital segment and ambulatory practice segment is approximately 4% and 8% (calculated as a percentage of our revenue as compared to our TAM estimates by setting of care), respectively, demonstrating the ample white space in which we can continue driving our growth.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Waystar Platform</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innovative cloud-based software platform is purpose-built to simplify our clients’ payment-related challenges. We believe our platform significantly outperforms those of our competitors, who lack either modern functionality or the ability to address the full end-to-end payments workflow.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components of our platform include:</w:t>
      </w:r>
    </w:p>
    <w:p>
      <w:pPr>
        <w:spacing w:after="0" w:line="221" w:lineRule="exact"/>
        <w:rPr>
          <w:sz w:val="20"/>
          <w:szCs w:val="20"/>
          <w:color w:val="auto"/>
        </w:rPr>
      </w:pPr>
    </w:p>
    <w:p>
      <w:pPr>
        <w:ind w:left="1000" w:right="120" w:hanging="317"/>
        <w:spacing w:after="0" w:line="27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Modern, differentiated software</w:t>
      </w:r>
      <w:r>
        <w:rPr>
          <w:rFonts w:ascii="Times New Roman" w:cs="Times New Roman" w:eastAsia="Times New Roman" w:hAnsi="Times New Roman"/>
          <w:sz w:val="18"/>
          <w:szCs w:val="18"/>
          <w:color w:val="auto"/>
        </w:rPr>
        <w:t>. We provide modern, scalable healthcare payments software solutions. Our platform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alignment with best-in-class offerings in other industry verticals that include multi-tenancy, micro-services architecture, and robust data security. Our technology is cloud- native, allowing us to deploy it across any type and size of provider, from single-physician practices to the most sophisticated multi-site health systems. This single-instance, multi-tenant infrastructure is underpinned by an event-driven microservices architecture, all of which we have built in-house.</w:t>
      </w:r>
    </w:p>
    <w:p>
      <w:pPr>
        <w:spacing w:after="0" w:line="194" w:lineRule="exact"/>
        <w:rPr>
          <w:rFonts w:ascii="Times New Roman" w:cs="Times New Roman" w:eastAsia="Times New Roman" w:hAnsi="Times New Roman"/>
          <w:sz w:val="18"/>
          <w:szCs w:val="18"/>
          <w:color w:val="auto"/>
        </w:rPr>
      </w:pPr>
    </w:p>
    <w:p>
      <w:pPr>
        <w:ind w:left="1000" w:right="60" w:hanging="317"/>
        <w:spacing w:after="0" w:line="299"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 comprehensive solution set</w:t>
      </w:r>
      <w:r>
        <w:rPr>
          <w:rFonts w:ascii="Times New Roman" w:cs="Times New Roman" w:eastAsia="Times New Roman" w:hAnsi="Times New Roman"/>
          <w:sz w:val="17"/>
          <w:szCs w:val="17"/>
          <w:color w:val="auto"/>
        </w:rPr>
        <w:t>. Our software addresses the entire healthcare payments workflow, from pre-service patient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onboarding and prior authorization through post-service payment collection. Rather than attacking individual pain points for a client user, our solutions can meet the full demands of an entire organization, eliminating the need for point solutions, boosting productivity through a seamless end-user experience, and reducing the risk of loss of data or information.</w:t>
      </w:r>
    </w:p>
    <w:p>
      <w:pPr>
        <w:spacing w:after="0" w:line="159" w:lineRule="exact"/>
        <w:rPr>
          <w:rFonts w:ascii="Times New Roman" w:cs="Times New Roman" w:eastAsia="Times New Roman" w:hAnsi="Times New Roman"/>
          <w:sz w:val="17"/>
          <w:szCs w:val="17"/>
          <w:color w:val="auto"/>
        </w:rPr>
      </w:pPr>
    </w:p>
    <w:p>
      <w:pPr>
        <w:ind w:left="1000" w:right="140" w:hanging="317"/>
        <w:spacing w:after="0" w:line="284"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Seamless integrations</w:t>
      </w:r>
      <w:r>
        <w:rPr>
          <w:rFonts w:ascii="Times New Roman" w:cs="Times New Roman" w:eastAsia="Times New Roman" w:hAnsi="Times New Roman"/>
          <w:sz w:val="18"/>
          <w:szCs w:val="18"/>
          <w:color w:val="auto"/>
        </w:rPr>
        <w:t>. Our solutions are integrated with a broad range of systems provided by over 200 channel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ERP applications, as well as PM and EHR systems. This deep connectivity is an important point of differentiation and makes our solutions faster to implement, easier to use, and harder to replace.</w:t>
      </w:r>
    </w:p>
    <w:p>
      <w:pPr>
        <w:spacing w:after="0" w:line="169" w:lineRule="exact"/>
        <w:rPr>
          <w:rFonts w:ascii="Times New Roman" w:cs="Times New Roman" w:eastAsia="Times New Roman" w:hAnsi="Times New Roman"/>
          <w:sz w:val="18"/>
          <w:szCs w:val="18"/>
          <w:color w:val="auto"/>
        </w:rPr>
      </w:pPr>
    </w:p>
    <w:p>
      <w:pPr>
        <w:ind w:left="1000" w:right="220" w:hanging="317"/>
        <w:spacing w:after="0" w:line="27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 expansive network</w:t>
      </w:r>
      <w:r>
        <w:rPr>
          <w:rFonts w:ascii="Times New Roman" w:cs="Times New Roman" w:eastAsia="Times New Roman" w:hAnsi="Times New Roman"/>
          <w:sz w:val="18"/>
          <w:szCs w:val="18"/>
          <w:color w:val="auto"/>
        </w:rPr>
        <w:t>. Our extensive network of clients and counterparties underpins our platform. Over more than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decades, we have built direct connectivity with healthcare payers-from large health insurers to small third-party administrators-to the benefit of our clients and partners. This network has allowed us to build a large database of information to generate insights and drive continuous improvements.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hanging="317"/>
        <w:spacing w:after="0" w:line="267"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AI capabilities driven by proprietary data asset</w:t>
      </w:r>
      <w:r>
        <w:rPr>
          <w:rFonts w:ascii="Times New Roman" w:cs="Times New Roman" w:eastAsia="Times New Roman" w:hAnsi="Times New Roman"/>
          <w:sz w:val="18"/>
          <w:szCs w:val="18"/>
          <w:color w:val="auto"/>
        </w:rPr>
        <w:t>. We build predictive scoring capabilities using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training data sets and advanced machine learning which we apply to data that passes through our platform. Using these machine-learning models, we are able to predict an outcome for a variety of reimbursement workflows, which we incorporate into our solutions to drive improved results for payers, providers, and patients. Our data asset is comprised of the billions of transactions we facilitate each year as well as the numerous variables that factor into each of those payments. This allows us to leverage the compounding value of this data asset to advance our AI and automation capabilities, which continuously learn and improve our platform. Our data include elements such as demographics, geography, diagnosis and prognosis, and care provider, as well as a variety of counterparty details. For example, we leverage AI in our denials prevention and recovery platform, where it helps us predict denied claim appeals success based on a variety of factors including patient benefits, procedure performed, applicable payer involved, and codes used. This enables providers to prioritize their workflow efforts and drive maximum recovery value on denied claims. In addition, we use AI to discover missing charges and capture otherwise lost revenue, to align claim status and escalation efforts with claim-specific expected remit timeframe, to drive work queue prioritization by expected value, to predict the likelihood of charity qualification driving pre-service financial intervention, and for behavior modeling to align patient collection costs.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platform provides the following benefits to our clients:</w:t>
      </w:r>
    </w:p>
    <w:p>
      <w:pPr>
        <w:spacing w:after="0" w:line="181" w:lineRule="exact"/>
        <w:rPr>
          <w:sz w:val="20"/>
          <w:szCs w:val="20"/>
          <w:color w:val="auto"/>
        </w:rPr>
      </w:pPr>
    </w:p>
    <w:p>
      <w:pPr>
        <w:ind w:left="1000" w:right="420" w:hanging="317"/>
        <w:spacing w:after="0" w:line="30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Increased revenue</w:t>
      </w:r>
      <w:r>
        <w:rPr>
          <w:rFonts w:ascii="Times New Roman" w:cs="Times New Roman" w:eastAsia="Times New Roman" w:hAnsi="Times New Roman"/>
          <w:sz w:val="18"/>
          <w:szCs w:val="18"/>
          <w:color w:val="auto"/>
        </w:rPr>
        <w:t>. Our software solutions simplify the payment process, allowing our clients to increase the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they collect.</w:t>
      </w:r>
    </w:p>
    <w:p>
      <w:pPr>
        <w:spacing w:after="0" w:line="127" w:lineRule="exact"/>
        <w:rPr>
          <w:rFonts w:ascii="Times New Roman" w:cs="Times New Roman" w:eastAsia="Times New Roman" w:hAnsi="Times New Roman"/>
          <w:sz w:val="18"/>
          <w:szCs w:val="18"/>
          <w:color w:val="auto"/>
        </w:rPr>
      </w:pPr>
    </w:p>
    <w:p>
      <w:pPr>
        <w:ind w:left="1000" w:right="280" w:hanging="317"/>
        <w:spacing w:after="0" w:line="30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Quicker payments</w:t>
      </w:r>
      <w:r>
        <w:rPr>
          <w:rFonts w:ascii="Times New Roman" w:cs="Times New Roman" w:eastAsia="Times New Roman" w:hAnsi="Times New Roman"/>
          <w:sz w:val="18"/>
          <w:szCs w:val="18"/>
          <w:color w:val="auto"/>
        </w:rPr>
        <w:t>. Our software helps expedite payments by streamlining and automating cumbersome workflows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 excessive delays.</w:t>
      </w:r>
    </w:p>
    <w:p>
      <w:pPr>
        <w:spacing w:after="0" w:line="113" w:lineRule="exact"/>
        <w:rPr>
          <w:rFonts w:ascii="Times New Roman" w:cs="Times New Roman" w:eastAsia="Times New Roman" w:hAnsi="Times New Roman"/>
          <w:sz w:val="18"/>
          <w:szCs w:val="18"/>
          <w:color w:val="auto"/>
        </w:rPr>
      </w:pPr>
    </w:p>
    <w:p>
      <w:pPr>
        <w:ind w:left="1000" w:hanging="317"/>
        <w:spacing w:after="0" w:line="30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Greater productivity</w:t>
      </w:r>
      <w:r>
        <w:rPr>
          <w:rFonts w:ascii="Times New Roman" w:cs="Times New Roman" w:eastAsia="Times New Roman" w:hAnsi="Times New Roman"/>
          <w:sz w:val="18"/>
          <w:szCs w:val="18"/>
          <w:color w:val="auto"/>
        </w:rPr>
        <w:t>. Our ability to automate portions of the payment cycle allows our clients to reduce operating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 on their core mission of caring for their patients.</w:t>
      </w:r>
    </w:p>
    <w:p>
      <w:pPr>
        <w:spacing w:after="0" w:line="113" w:lineRule="exact"/>
        <w:rPr>
          <w:rFonts w:ascii="Times New Roman" w:cs="Times New Roman" w:eastAsia="Times New Roman" w:hAnsi="Times New Roman"/>
          <w:sz w:val="18"/>
          <w:szCs w:val="18"/>
          <w:color w:val="auto"/>
        </w:rPr>
      </w:pPr>
    </w:p>
    <w:p>
      <w:pPr>
        <w:ind w:left="1000" w:right="440" w:hanging="317"/>
        <w:spacing w:after="0" w:line="30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visibility</w:t>
      </w:r>
      <w:r>
        <w:rPr>
          <w:rFonts w:ascii="Times New Roman" w:cs="Times New Roman" w:eastAsia="Times New Roman" w:hAnsi="Times New Roman"/>
          <w:sz w:val="18"/>
          <w:szCs w:val="18"/>
          <w:color w:val="auto"/>
        </w:rPr>
        <w:t>. We deploy analytics, reporting, and forecasting tools that provide our clients with unprecedented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visibility into areas where they can further improve their payment process and collections.</w:t>
      </w:r>
    </w:p>
    <w:p>
      <w:pPr>
        <w:spacing w:after="0" w:line="127" w:lineRule="exact"/>
        <w:rPr>
          <w:rFonts w:ascii="Times New Roman" w:cs="Times New Roman" w:eastAsia="Times New Roman" w:hAnsi="Times New Roman"/>
          <w:sz w:val="18"/>
          <w:szCs w:val="18"/>
          <w:color w:val="auto"/>
        </w:rPr>
      </w:pPr>
    </w:p>
    <w:p>
      <w:pPr>
        <w:ind w:left="1000" w:right="40" w:hanging="317"/>
        <w:spacing w:after="0" w:line="28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time-to-value</w:t>
      </w:r>
      <w:r>
        <w:rPr>
          <w:rFonts w:ascii="Times New Roman" w:cs="Times New Roman" w:eastAsia="Times New Roman" w:hAnsi="Times New Roman"/>
          <w:sz w:val="18"/>
          <w:szCs w:val="18"/>
          <w:color w:val="auto"/>
        </w:rPr>
        <w:t>. Our architecture seamlessly integrates with our clients’ existing systems and technology. This 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enables our clients to quickly realize value from our solutions while avoiding costly and distracting implementation processes associated with other types of software and support services.</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platform enables us to provide industry-leading technology at scale to more than 30,000 clients across more than six billion healthcare payment transactions worth over $1.8 trillion in annual gross claims. The quality and innovation of our technology has been widely recognized, as evidenced by our receipt of a MedTech Breakthrough Award for healthcare payments innovation, several Stevie Awards, including Company of the Year in healthcare, and numerous Best in KLAS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Waystar Wins</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Through decades of experience, we have honed our deep domain expertise, fostered long-standing client relationships, and built our library of rules and algorithms. We believe our modern, cloud-based platform combined with our subject matter expertise are extremely difficult to replicate and provide us with a meaningful competitive advantage. We believe these factors, together with the following additional strengths, position us well for continued success:</w:t>
      </w:r>
    </w:p>
    <w:p>
      <w:pPr>
        <w:spacing w:after="0" w:line="135" w:lineRule="exact"/>
        <w:rPr>
          <w:sz w:val="20"/>
          <w:szCs w:val="20"/>
          <w:color w:val="auto"/>
        </w:rPr>
      </w:pPr>
    </w:p>
    <w:p>
      <w:pPr>
        <w:ind w:left="1000" w:right="80" w:hanging="317"/>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Strong brand with attractive client ROI</w:t>
      </w:r>
      <w:r>
        <w:rPr>
          <w:rFonts w:ascii="Times New Roman" w:cs="Times New Roman" w:eastAsia="Times New Roman" w:hAnsi="Times New Roman"/>
          <w:sz w:val="17"/>
          <w:szCs w:val="17"/>
          <w:color w:val="auto"/>
        </w:rPr>
        <w:t>. The Waystar brand is synonymous with quality, reliability, robust analytics,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exceptional customer service, and a deep and interconnected network. This strength is evidenced by our high NPS of 74 and #1 rank versus competitors in percentage of clients indicating the highest level of satisfaction with our services, based on a third-party survey commissioned by us in 2023. Our brand, as well as the tangible ROI that we deliver, drives strong client loyalty, as evidenced by our 110.1% Net Revenue Retention Rate for the year ended December 31, 2024. Many of our clients view us as a trusted vendor and support our success by recommending Waystar to other providers, further driving growth and adoption of our solutions. As a testament to this trust, Forbes recently named Waystar to its 2025 Most Trusted Companies in America list. Our award-winning brand attracts exceptional talent to help us further our 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right="40" w:hanging="317"/>
        <w:spacing w:after="0" w:line="26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client experience</w:t>
      </w:r>
      <w:r>
        <w:rPr>
          <w:rFonts w:ascii="Times New Roman" w:cs="Times New Roman" w:eastAsia="Times New Roman" w:hAnsi="Times New Roman"/>
          <w:sz w:val="18"/>
          <w:szCs w:val="18"/>
          <w:color w:val="auto"/>
        </w:rPr>
        <w:t>. We have a relentless focus on operational execution and deliver outstanding client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According to a third-party survey commissioned by us in 2023, Waystar ranks #1 in client satisfaction with implementation time, 94% of clients are satisfied with our integrations with other systems, and 98% of clients say we deliver on trust very well or extremely well. We frequently receive client recognition and industry awards, including being named a top client- rated healthcare payments platform by BlackBook across 17 categories. For our larger clients, we deploy a client success team, which serves as both a dedicated resource and trusted strategic partner to help drive value. Our client success team provides day-to-day operation support, has regular update calls and account reviews, quarterly in-person reviews, and ongoing on-site training. From our consistently on-time implementations to our highly responsive client service, we seek to support our clients so they can maximize the benefits of our software.</w:t>
      </w:r>
    </w:p>
    <w:p>
      <w:pPr>
        <w:spacing w:after="0" w:line="187" w:lineRule="exact"/>
        <w:rPr>
          <w:rFonts w:ascii="Times New Roman" w:cs="Times New Roman" w:eastAsia="Times New Roman" w:hAnsi="Times New Roman"/>
          <w:sz w:val="18"/>
          <w:szCs w:val="18"/>
          <w:color w:val="auto"/>
        </w:rPr>
      </w:pPr>
    </w:p>
    <w:p>
      <w:pPr>
        <w:ind w:left="1000" w:right="60" w:hanging="317"/>
        <w:spacing w:after="0" w:line="269"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Mission-driven innovation culture</w:t>
      </w:r>
      <w:r>
        <w:rPr>
          <w:rFonts w:ascii="Times New Roman" w:cs="Times New Roman" w:eastAsia="Times New Roman" w:hAnsi="Times New Roman"/>
          <w:sz w:val="18"/>
          <w:szCs w:val="18"/>
          <w:color w:val="auto"/>
        </w:rPr>
        <w:t>. We have cultivated a company culture that is focused on helping our clients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and delivering industry-leading software solutions. This innovation-focused culture has been foundational in creating a modern technology platform that delivers a comprehensive end-to-end suite of solutions with an intuitive user interface. According to a third-party survey commissioned by us in 2023, Waystar ranks #1 in satisfaction with rate of product innovation and vision and 94% of clients are satisfied with our capabilities in automation. We were recognized as one of the Best Workplaces for Innovators by Fast Company in both 2022 and 2023 and our team members are committed to working together toward a better future for healthcare.</w:t>
      </w:r>
    </w:p>
    <w:p>
      <w:pPr>
        <w:spacing w:after="0" w:line="185" w:lineRule="exact"/>
        <w:rPr>
          <w:rFonts w:ascii="Times New Roman" w:cs="Times New Roman" w:eastAsia="Times New Roman" w:hAnsi="Times New Roman"/>
          <w:sz w:val="18"/>
          <w:szCs w:val="18"/>
          <w:color w:val="auto"/>
        </w:rPr>
      </w:pPr>
    </w:p>
    <w:p>
      <w:pPr>
        <w:ind w:left="1000" w:right="20" w:hanging="317"/>
        <w:spacing w:after="0" w:line="269"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Experienced leadership and technology teams with a track record of execution</w:t>
      </w:r>
      <w:r>
        <w:rPr>
          <w:rFonts w:ascii="Times New Roman" w:cs="Times New Roman" w:eastAsia="Times New Roman" w:hAnsi="Times New Roman"/>
          <w:sz w:val="18"/>
          <w:szCs w:val="18"/>
          <w:color w:val="auto"/>
        </w:rPr>
        <w:t>. Our values-driven and award-winning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team brings together deep experience in the software and healthcare industries and strong relationships with our clients and key stakeholders. Several of our executives and team leaders have been with our predecessor companies since founding, in multiple cases for over 20 years. Our current management team has driven strategic and transformational initiatives across operations, product, engineering, and sales leading to best-in-class products, exceptional client service, and consistently profitable growth. We believe our team has the strategic vision, leadership qualities, technological expertise, and operational capabilities to continue to successfully drive our growth.</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platform strengths and differentiation are most evident in our ability to win clients. We had an 83% win rate against our competitors for fiscal years 2022 through 2024 in situations where the client ultimately elected to switch vendors or purchase a new solution.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strengths of our platform and solutions provide us with a significant competitive advantage. Following a recent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also allowed us to establish direct connectivity with large, national health plans, who previously had exclusive portal connections with the competitor. We expect to build enduring relationships with these new clients, the vast majority of whom have signed contracts with initial terms of two to three years, with one- year automatic renewals.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capitalize on our market opportunity by executing on the following growth strategies:</w:t>
      </w:r>
    </w:p>
    <w:p>
      <w:pPr>
        <w:spacing w:after="0" w:line="221" w:lineRule="exact"/>
        <w:rPr>
          <w:sz w:val="20"/>
          <w:szCs w:val="20"/>
          <w:color w:val="auto"/>
        </w:rPr>
      </w:pPr>
    </w:p>
    <w:p>
      <w:pPr>
        <w:ind w:left="1000" w:right="80" w:hanging="317"/>
        <w:spacing w:after="0" w:line="269"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relationships with existing clients</w:t>
      </w:r>
      <w:r>
        <w:rPr>
          <w:rFonts w:ascii="Times New Roman" w:cs="Times New Roman" w:eastAsia="Times New Roman" w:hAnsi="Times New Roman"/>
          <w:sz w:val="18"/>
          <w:szCs w:val="18"/>
          <w:color w:val="auto"/>
        </w:rPr>
        <w:t>. We believe we have a meaningful opportunity to continue driving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current client base. We grow with existing clients in three ways- first, as they expand their businesses, provide more healthcare services, and see more patients; second, through cross-selling as they adopt additional Waystar offerings; and third, through up-selling as they leverage our solutions across additional providers and sites of care. We have a track record of building long-standing relationships with our clients, often growing from an initial solution to multi- solution adoption. Based on the estimated whitespace within our existing clients for the solutions we currently provide, we believe we have the opportunity to approximately double our revenue through cross-sell and up-sell of our solutions to existing clients.</w:t>
      </w:r>
    </w:p>
    <w:p>
      <w:pPr>
        <w:spacing w:after="0" w:line="182" w:lineRule="exact"/>
        <w:rPr>
          <w:rFonts w:ascii="Times New Roman" w:cs="Times New Roman" w:eastAsia="Times New Roman" w:hAnsi="Times New Roman"/>
          <w:sz w:val="18"/>
          <w:szCs w:val="18"/>
          <w:color w:val="auto"/>
        </w:rPr>
      </w:pPr>
    </w:p>
    <w:p>
      <w:pPr>
        <w:ind w:left="1000" w:right="60" w:hanging="317"/>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 our client base</w:t>
      </w:r>
      <w:r>
        <w:rPr>
          <w:rFonts w:ascii="Times New Roman" w:cs="Times New Roman" w:eastAsia="Times New Roman" w:hAnsi="Times New Roman"/>
          <w:sz w:val="18"/>
          <w:szCs w:val="18"/>
          <w:color w:val="auto"/>
        </w:rPr>
        <w:t>. We address a large and growing market that has a meaningful need for the solutions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we serve over one million providers today, there are over 7.5 million providers that we believe can benefit from our solutions. We pursue this opportunity through our high- performing sales team, who are organized by client segment to address the specific needs and sales cycles of that market.</w:t>
      </w:r>
    </w:p>
    <w:p>
      <w:pPr>
        <w:sectPr>
          <w:pgSz w:w="11900" w:h="16838" w:orient="portrait"/>
          <w:cols w:equalWidth="0" w:num="1">
            <w:col w:w="9860"/>
          </w:cols>
          <w:pgMar w:left="980" w:top="513" w:right="1059" w:bottom="1440" w:gutter="0" w:footer="0" w:header="0"/>
        </w:sect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right="20" w:hanging="317"/>
        <w:spacing w:after="0" w:line="269"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Deepen and expand our relationships with strategic channel partners</w:t>
      </w:r>
      <w:r>
        <w:rPr>
          <w:rFonts w:ascii="Times New Roman" w:cs="Times New Roman" w:eastAsia="Times New Roman" w:hAnsi="Times New Roman"/>
          <w:sz w:val="18"/>
          <w:szCs w:val="18"/>
          <w:color w:val="auto"/>
        </w:rPr>
        <w:t>. We are highly focused on furthering our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 partnerships. Our channel partners accelerate our growth by providing us access to a larger client base and actively promoting Waystar. We have established strong relationships with the nation’s leading EHR and PM providers, which drives a significant competitive advantage. For example, we were recently named the exclusive payments vendor for a leading national ambulatory EHR provider, affording us greater access to its client base, enhanced integrations and user experience, and further opportunities to grow. We will continue to invest in deepening our current relationships and building new ones to drive our growth.</w:t>
      </w:r>
    </w:p>
    <w:p>
      <w:pPr>
        <w:spacing w:after="0" w:line="185" w:lineRule="exact"/>
        <w:rPr>
          <w:rFonts w:ascii="Times New Roman" w:cs="Times New Roman" w:eastAsia="Times New Roman" w:hAnsi="Times New Roman"/>
          <w:sz w:val="18"/>
          <w:szCs w:val="18"/>
          <w:color w:val="auto"/>
        </w:rPr>
      </w:pPr>
    </w:p>
    <w:p>
      <w:pPr>
        <w:ind w:left="1000" w:hanging="31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develop adjacent solutions</w:t>
      </w:r>
      <w:r>
        <w:rPr>
          <w:rFonts w:ascii="Times New Roman" w:cs="Times New Roman" w:eastAsia="Times New Roman" w:hAnsi="Times New Roman"/>
          <w:sz w:val="18"/>
          <w:szCs w:val="18"/>
          <w:color w:val="auto"/>
        </w:rPr>
        <w:t>. We will continue to invest heavily in the Waystar platform to expand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breadth and depth, increase automation, strengthen system performance, and improve the user experience. Our product roadmap is informed by both continuous client feedback as well as our own assessments of opportunities to further streamline and simplify healthcare payments. For example, we are expanding our prior authorization capabilities into the ambulatory market, helping to solve an unmet market need for automation of previously manual workflows and unlocking cross-sell opportunities. We are also actively exploring how we can leverage generative AI to further enhance our value proposition to clients. Our product and engineering team, comprised of more than 280 full-time employees, delivers daily code updates to continually enhance our products. Among other development projects, we are exploring how we can leverage generative AI to improve our platform and deliver even greater ROI. Due to our modern architecture and purpose-built software, we have little technical debt as compared with legacy software platforms serving the market. As a result, we can focus our resources on innovating and advancing our platform for the benefit of our clients.</w:t>
      </w:r>
    </w:p>
    <w:p>
      <w:pPr>
        <w:spacing w:after="0" w:line="184" w:lineRule="exact"/>
        <w:rPr>
          <w:rFonts w:ascii="Times New Roman" w:cs="Times New Roman" w:eastAsia="Times New Roman" w:hAnsi="Times New Roman"/>
          <w:sz w:val="18"/>
          <w:szCs w:val="18"/>
          <w:color w:val="auto"/>
        </w:rPr>
      </w:pPr>
    </w:p>
    <w:p>
      <w:pPr>
        <w:ind w:left="1000" w:right="40" w:hanging="317"/>
        <w:spacing w:after="0" w:line="269"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Selectively pursue strategic acquisitions</w:t>
      </w:r>
      <w:r>
        <w:rPr>
          <w:rFonts w:ascii="Times New Roman" w:cs="Times New Roman" w:eastAsia="Times New Roman" w:hAnsi="Times New Roman"/>
          <w:sz w:val="18"/>
          <w:szCs w:val="18"/>
          <w:color w:val="auto"/>
        </w:rPr>
        <w:t>. Since 2018, we have completed and successfully integrated nine acquisitions,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of which closed in the second half of 2023. These acquisitions complement our organic product roadmap and have helped us enhance our platform, add new solutions, and expand our market reach. For example, we acquired eSolutions in 2020, adding Medicare-specific solutions that allow us to address both commercial and government payers on a single cloud-based platform. Our acquisitions are fully integrated with and consolidated into the Waystar platform, which enables us to provide a seamless user experience for our clients, as well as drive innovation on the combined platform. We will continue to evaluate acquisition opportunities that improve our offering and accelerate our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comprehensive solution set streamlines the complex and disparate processes relating to payments received by healthcare providers and addresses related pain points for providers, patients, and payers. Our solutions include:</w:t>
      </w:r>
    </w:p>
    <w:p>
      <w:pPr>
        <w:spacing w:after="0" w:line="158" w:lineRule="exact"/>
        <w:rPr>
          <w:sz w:val="20"/>
          <w:szCs w:val="20"/>
          <w:color w:val="auto"/>
        </w:rPr>
      </w:pPr>
    </w:p>
    <w:p>
      <w:pPr>
        <w:ind w:left="1000" w:hanging="317"/>
        <w:spacing w:after="0" w:line="27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clearance</w:t>
      </w:r>
      <w:r>
        <w:rPr>
          <w:rFonts w:ascii="Times New Roman" w:cs="Times New Roman" w:eastAsia="Times New Roman" w:hAnsi="Times New Roman"/>
          <w:sz w:val="18"/>
          <w:szCs w:val="18"/>
          <w:color w:val="auto"/>
        </w:rPr>
        <w:t>. Our platform automates insurance verification processes and validates that patients are eligible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through the prior authorization process, helping eliminate downstream rejections and denials that lead to revenue delays and leakage. Based on a Company survey, 81% of patients would more actively pursue care if they knew the cost upfront. Our financial clearance solutions provide patients with price transparency tools and cost estimation data points that offer them better clarity around their expected costs.</w:t>
      </w:r>
    </w:p>
    <w:p>
      <w:pPr>
        <w:spacing w:after="0" w:line="194" w:lineRule="exact"/>
        <w:rPr>
          <w:rFonts w:ascii="Times New Roman" w:cs="Times New Roman" w:eastAsia="Times New Roman" w:hAnsi="Times New Roman"/>
          <w:sz w:val="18"/>
          <w:szCs w:val="18"/>
          <w:color w:val="auto"/>
        </w:rPr>
      </w:pPr>
    </w:p>
    <w:p>
      <w:pPr>
        <w:ind w:left="1000" w:right="280" w:hanging="317"/>
        <w:spacing w:after="0" w:line="299"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Patient financial care</w:t>
      </w:r>
      <w:r>
        <w:rPr>
          <w:rFonts w:ascii="Times New Roman" w:cs="Times New Roman" w:eastAsia="Times New Roman" w:hAnsi="Times New Roman"/>
          <w:sz w:val="17"/>
          <w:szCs w:val="17"/>
          <w:color w:val="auto"/>
        </w:rPr>
        <w:t>. Our platform enables digital interactions between the patient and provider, including delivery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electronic statements and processing of patient payments through our patient portal. We offer an omni-channel payment experience, with multiple ways for patients to pay, as well as flexible payment arrangements. These solutions deliver a better financial experience for patients, as well as faster collection times and higher collection rates for providers.</w:t>
      </w:r>
    </w:p>
    <w:p>
      <w:pPr>
        <w:spacing w:after="0" w:line="159" w:lineRule="exact"/>
        <w:rPr>
          <w:rFonts w:ascii="Times New Roman" w:cs="Times New Roman" w:eastAsia="Times New Roman" w:hAnsi="Times New Roman"/>
          <w:sz w:val="17"/>
          <w:szCs w:val="17"/>
          <w:color w:val="auto"/>
        </w:rPr>
      </w:pPr>
    </w:p>
    <w:p>
      <w:pPr>
        <w:ind w:left="1000" w:right="20" w:hanging="317"/>
        <w:spacing w:after="0" w:line="269"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Claims and payer payment management</w:t>
      </w:r>
      <w:r>
        <w:rPr>
          <w:rFonts w:ascii="Times New Roman" w:cs="Times New Roman" w:eastAsia="Times New Roman" w:hAnsi="Times New Roman"/>
          <w:sz w:val="18"/>
          <w:szCs w:val="18"/>
          <w:color w:val="auto"/>
        </w:rPr>
        <w:t>. Our platform streamlines the cumbersome reimbursement process that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 to submit claims and receive remittance information. Our solutions ensure submission of appropriate documentation and claim submission in accordance with payer contracts and automate workstreams that help our clients avoid denials and rejections, monitor in- process claims, and process payer remittances. In addition, we offer claim scrubbing capabilities to check for errors and verify accuracy to limit billing mistakes. Built upon over two decades of industry experience, we believe that our AI-enabled rules engine drives an industry-leading first pass clean claims rate across both commercial and government (Medicare &amp; Medicaid) claims.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hanging="317"/>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Denials prevention and recovery</w:t>
      </w:r>
      <w:r>
        <w:rPr>
          <w:rFonts w:ascii="Times New Roman" w:cs="Times New Roman" w:eastAsia="Times New Roman" w:hAnsi="Times New Roman"/>
          <w:sz w:val="18"/>
          <w:szCs w:val="18"/>
          <w:color w:val="auto"/>
        </w:rPr>
        <w:t>. Our platform leverages predictive analytics to identify claims that are likely to be denied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prioritize denied claims based on the likelihood of claims appeal success. We reduce manual workflows, as well as denial appeal processing time. We also conduct root cause analysis to help providers reduce the chance of denials in future claims.</w:t>
      </w:r>
    </w:p>
    <w:p>
      <w:pPr>
        <w:spacing w:after="0" w:line="174" w:lineRule="exact"/>
        <w:rPr>
          <w:rFonts w:ascii="Times New Roman" w:cs="Times New Roman" w:eastAsia="Times New Roman" w:hAnsi="Times New Roman"/>
          <w:sz w:val="18"/>
          <w:szCs w:val="18"/>
          <w:color w:val="auto"/>
        </w:rPr>
      </w:pPr>
    </w:p>
    <w:p>
      <w:pPr>
        <w:ind w:left="1000" w:right="240" w:hanging="317"/>
        <w:spacing w:after="0" w:line="30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capture</w:t>
      </w:r>
      <w:r>
        <w:rPr>
          <w:rFonts w:ascii="Times New Roman" w:cs="Times New Roman" w:eastAsia="Times New Roman" w:hAnsi="Times New Roman"/>
          <w:sz w:val="18"/>
          <w:szCs w:val="18"/>
          <w:color w:val="auto"/>
        </w:rPr>
        <w:t>. Our platform leverages AI and machine learning to identify and resolve missing charges and errors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submissions, reducing manual auditing and increasing reimbursement accuracy and cash flow for our clients.</w:t>
      </w:r>
    </w:p>
    <w:p>
      <w:pPr>
        <w:spacing w:after="0" w:line="154" w:lineRule="exact"/>
        <w:rPr>
          <w:rFonts w:ascii="Times New Roman" w:cs="Times New Roman" w:eastAsia="Times New Roman" w:hAnsi="Times New Roman"/>
          <w:sz w:val="18"/>
          <w:szCs w:val="18"/>
          <w:color w:val="auto"/>
        </w:rPr>
      </w:pPr>
    </w:p>
    <w:p>
      <w:pPr>
        <w:ind w:left="1000" w:right="120" w:hanging="317"/>
        <w:spacing w:after="0" w:line="27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Analytics and reporting</w:t>
      </w:r>
      <w:r>
        <w:rPr>
          <w:rFonts w:ascii="Times New Roman" w:cs="Times New Roman" w:eastAsia="Times New Roman" w:hAnsi="Times New Roman"/>
          <w:sz w:val="18"/>
          <w:szCs w:val="18"/>
          <w:color w:val="auto"/>
        </w:rPr>
        <w:t>. Our platform collects and collates vast amounts of healthcare data, and we organize and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data in dashboards that can be customized to meet the needs of individual clients. We provide data visualization and business intelligence analytics to enable providers to manage payment and denial trends across their business. We drive increased workflow efficiency by eliminating manual spreadsheets for evaluation of business trends and enable performance optimization through real-time evaluation of key performance indicators.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Waystar platform is built upon a modern, scalable, multi-tenant cloud-based architecture that delivers an exceptional client experience and allows us to process billions of transactions every year and support nearly 100,000 daily end-users. Our solutions are deeply integrated into our clients’ workflows, providing an elegant and intuitive user experience. The architecture, design, deployment, and management of our platform are centered on the following areas:</w:t>
      </w:r>
    </w:p>
    <w:p>
      <w:pPr>
        <w:spacing w:after="0" w:line="176" w:lineRule="exact"/>
        <w:rPr>
          <w:sz w:val="20"/>
          <w:szCs w:val="20"/>
          <w:color w:val="auto"/>
        </w:rPr>
      </w:pPr>
    </w:p>
    <w:p>
      <w:pPr>
        <w:ind w:left="1000" w:right="180" w:hanging="317"/>
        <w:spacing w:after="0" w:line="288"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Modern, cloud-based architecture</w:t>
      </w:r>
      <w:r>
        <w:rPr>
          <w:rFonts w:ascii="Times New Roman" w:cs="Times New Roman" w:eastAsia="Times New Roman" w:hAnsi="Times New Roman"/>
          <w:sz w:val="17"/>
          <w:szCs w:val="17"/>
          <w:color w:val="auto"/>
        </w:rPr>
        <w:t>. We leverage a modern multi-tenant, event-driven micro-services architecture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a high degree of scalability and interoperability across the platform. We utilize resilient and fully-virtualized hosting architecture, with multiple layers of redundancy. Employing these and many other strategies, we have achieved greater than 99.9% uptime for the Waystar platform. Our solutions are designed to meet the needs of the largest hospitals and health systems but can also be scaled to cost-effectively serve the needs of smaller providers. Our modern web user applications utilize best practice software designs, allowing for high-velocity development and continual deployments.</w:t>
      </w:r>
    </w:p>
    <w:p>
      <w:pPr>
        <w:spacing w:after="0" w:line="185" w:lineRule="exact"/>
        <w:rPr>
          <w:rFonts w:ascii="Times New Roman" w:cs="Times New Roman" w:eastAsia="Times New Roman" w:hAnsi="Times New Roman"/>
          <w:sz w:val="17"/>
          <w:szCs w:val="17"/>
          <w:color w:val="auto"/>
        </w:rPr>
      </w:pPr>
    </w:p>
    <w:p>
      <w:pPr>
        <w:ind w:left="1000" w:right="60" w:hanging="317"/>
        <w:spacing w:after="0" w:line="27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Ongoing innovation</w:t>
      </w:r>
      <w:r>
        <w:rPr>
          <w:rFonts w:ascii="Times New Roman" w:cs="Times New Roman" w:eastAsia="Times New Roman" w:hAnsi="Times New Roman"/>
          <w:sz w:val="18"/>
          <w:szCs w:val="18"/>
          <w:color w:val="auto"/>
        </w:rPr>
        <w:t>. Waystar has long-fostered an innovation-focused culture, with daily code update deployments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quarterly seasonal release campaigns delivering ongoing software enhancements to clients. Our tenured Product and Engineering teams consist of approximately 280 full- time employees, all relentlessly focused on driving improvements in our platform. Our product roadmap balances new feature enrichment with continued backend integration of acquired solutions and methodical technology modernization.</w:t>
      </w:r>
    </w:p>
    <w:p>
      <w:pPr>
        <w:spacing w:after="0" w:line="194" w:lineRule="exact"/>
        <w:rPr>
          <w:rFonts w:ascii="Times New Roman" w:cs="Times New Roman" w:eastAsia="Times New Roman" w:hAnsi="Times New Roman"/>
          <w:sz w:val="18"/>
          <w:szCs w:val="18"/>
          <w:color w:val="auto"/>
        </w:rPr>
      </w:pPr>
    </w:p>
    <w:p>
      <w:pPr>
        <w:jc w:val="both"/>
        <w:ind w:left="1000" w:right="240" w:hanging="317"/>
        <w:spacing w:after="0" w:line="284"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Enterprise-grade security</w:t>
      </w:r>
      <w:r>
        <w:rPr>
          <w:rFonts w:ascii="Times New Roman" w:cs="Times New Roman" w:eastAsia="Times New Roman" w:hAnsi="Times New Roman"/>
          <w:sz w:val="18"/>
          <w:szCs w:val="18"/>
          <w:color w:val="auto"/>
        </w:rPr>
        <w:t>. Our solutions provide clients with enterprise-grade security, data protection, and control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 the healthcare industry’s strict security standards. Our highly secure application and infrastructure are validated by PCI, HITRUST, and SSAE-18 SOC 2 Type Two audits and certifications.</w:t>
      </w:r>
    </w:p>
    <w:p>
      <w:pPr>
        <w:spacing w:after="0" w:line="169" w:lineRule="exact"/>
        <w:rPr>
          <w:rFonts w:ascii="Times New Roman" w:cs="Times New Roman" w:eastAsia="Times New Roman" w:hAnsi="Times New Roman"/>
          <w:sz w:val="18"/>
          <w:szCs w:val="18"/>
          <w:color w:val="auto"/>
        </w:rPr>
      </w:pPr>
    </w:p>
    <w:p>
      <w:pPr>
        <w:ind w:left="1000" w:right="20" w:hanging="317"/>
        <w:spacing w:after="0" w:line="30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Seamless user experience</w:t>
      </w:r>
      <w:r>
        <w:rPr>
          <w:rFonts w:ascii="Times New Roman" w:cs="Times New Roman" w:eastAsia="Times New Roman" w:hAnsi="Times New Roman"/>
          <w:sz w:val="18"/>
          <w:szCs w:val="18"/>
          <w:color w:val="auto"/>
        </w:rPr>
        <w:t>. We have built a unified user experience across our solutions. Users access our platform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single log-in experience, providing convenience, saving time, and increasing productivity.</w:t>
      </w:r>
    </w:p>
    <w:p>
      <w:pPr>
        <w:spacing w:after="0" w:line="15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Search functionality, high-level vertical tabs for our solutions, and dropdown menus within each solution type deliver intuitive navigation for our clients. Comprehensive and customizable dashboards illustrate data using a variety of methods, enabling more efficient identification of outliers, trends, and other useful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built a comprehensive future-ready suite of enterprise-scale core system software, and we will continue to invest in our technology to further improve our platform infrastructure and capabilities. We are able to responsibly manage technical debt, allowing us to focus our investment on continuously innovating and advancing our platform for the benefit of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built a powerful go-to-market engine focused on acquiring new clients, driving expanded use of our platform for existing clients, and strengthening and growing our relationships with channel partners.</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sell our platform through our sales team comprised of over 100 representatives. Our sales teams are dedicated to either ambulatory providers or hospital and health system clients given the specific needs, call points, and sales cycles of those client types. Our sales approach to ambulatory provider clients consists of high velocity direct enterprise go-to market strategy, with a shorter sales cycle, whereas our direct enterprise go-to-market strategy for hospital and health systems clients typically has a longer sales cycle. The team is further specialized, with certain individuals focused on winning new clients and others focused on cross- selling into existing clients. We leverage data and analytics to manage the effectiveness of our sales force, as well as identify areas for potential improvement. Our client-centric sales model is fueled by frequent engagement with our clients. We have assigned dedicated client success managers to clients that have generated almost half our revenue since the beginning of 2021.</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to our direct sales force, we have a team focused on strengthening and expanding our channel partner and alliance relationships. We have established strong partnerships with the nation’s leading EHR and PM providers for integration and joint go-to-market efforts to providers. In addition, our strategic partners extend our sales presence and accelerate direct sales of our solutions by actively referring and promoting us to their client bases, enabling incremental touchpoints for our sales team who is ultimately responsible for marketing and selling to the client. We also partner with and sell to outsourced revenue cycle or billing service providers, who leverage our technology to help providers manage their administrative processes and payments.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go-to-market representatives are supported by a commercial operations team that is focused on developing strategic plans and driving team member development to enhance our effectiveness. Our go-to- market team also works with our product subject-matter experts, who help identify prospective client pain points and business challenges and help configure optimal solutions. Additionally, we have built a high- performance marketing function that has significantly elevated Waystar’s voice in the industry, expanding awareness of our brand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Over 99% of our revenue is either recurring subscription or based on highly predictable volumes. Our contracts with clients generally include a subscription fee component as well as a volume-based component, although some contracts include only one of these components. The subscription fee provides us with a fixed, recurring revenue stream while the volume-based component allows us to benefit from our clients’ growth. We generate greater revenue as our clients see more patients and greater utilization of their healthcare services. In addition, based on our contract structures, our proprietary data asset, our predictive analytics capabilities, and our deep understanding of the healthcare market, we believe we have visibility into and an ability to predict both subscription-based and volume-based revenue. For instance, 98% of revenue in 2024 was generated from clients already under contract as of the beginning of the year. Our client contracts are typically two or three years in length with automatic renewals for successive one-year terms that include standard price escalators. Client billing generally occurs monthly.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clients represent healthcare providers across all types of care settings, including physician practices, clinics, surgical centers, and laboratories, as well as large hospitals and health systems. Generally, 30% of our revenue comes from hospitals and health systems, while 70% comes from ambulatory and alternate sites of care. The over 30,000 clients we currently serve also vary significantly in size and represent over one million distinct providers in total, including 16 of the top 20 U.S. News Best Hospitals. As a result of our broadly applicable model, our client base is highly diversified, and for the year ended December 31, 2024, our top 10 clients accounted for only 11.2% of our total revenue. The number of clients from whom we generate over $100,000 of revenue has grown from 982 in the year ended December 31, 2022 to 1,203 in the year ended December 31, 2024, driven by large, new client wins and successful cross-selling and up-selling efforts.</w:t>
      </w:r>
    </w:p>
    <w:p>
      <w:pPr>
        <w:spacing w:after="0" w:line="19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for our platform solutions after the initial term expires, which is typically a two to three-year term. Our contracts generally provide for the automatic renewal for one-year subsequent terms, with the ability for our clients to terminate the contract with limited notice to us. However, we believe that due to the breadth, depth, and quality of our products, as well as the significant time and resources it takes to switch to a different healthcare payments provider, we will be able to retain our existing clients and upsell and cross-sell to them, as evidenced by our Net Revenue Retention Rate of 110.1% for the year ended December 31,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Values, and Culture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employed over 1,500 full-time team members, all of which are located in the United States. As of December 31, 2024, none of our team members were covered by a collective bargaining agreement or represented by a labor organization, and we have not experienced a labor-related work stoppage. We believe we have good relationships with our team members, as evidenced by our 2024 Fortune Great Place to Work Survey, where 83% of participating team members indicated that they would recommend working at Waystar to friends and family.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Values and Culture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values, which are foundational to the Waystar culture, include the following:</w:t>
      </w:r>
    </w:p>
    <w:p>
      <w:pPr>
        <w:spacing w:after="0" w:line="223" w:lineRule="exact"/>
        <w:rPr>
          <w:sz w:val="20"/>
          <w:szCs w:val="20"/>
          <w:color w:val="auto"/>
        </w:rPr>
      </w:pPr>
    </w:p>
    <w:p>
      <w:pPr>
        <w:ind w:left="1000" w:right="500" w:hanging="317"/>
        <w:spacing w:after="0" w:line="300"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Honesty</w:t>
      </w:r>
      <w:r>
        <w:rPr>
          <w:rFonts w:ascii="Times New Roman" w:cs="Times New Roman" w:eastAsia="Times New Roman" w:hAnsi="Times New Roman"/>
          <w:sz w:val="18"/>
          <w:szCs w:val="18"/>
          <w:color w:val="auto"/>
        </w:rPr>
        <w:t>—This is where we start. With integrity as our core, we are transparent, do the right thing, and build trust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staying true to our commitments.</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Kindness</w:t>
      </w:r>
      <w:r>
        <w:rPr>
          <w:rFonts w:ascii="Times New Roman" w:cs="Times New Roman" w:eastAsia="Times New Roman" w:hAnsi="Times New Roman"/>
          <w:sz w:val="18"/>
          <w:szCs w:val="18"/>
          <w:color w:val="auto"/>
        </w:rPr>
        <w:t>—We are friendly and respectful of everyone. We recognize the power of diversity and inclusion.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Passion</w:t>
      </w:r>
      <w:r>
        <w:rPr>
          <w:rFonts w:ascii="Times New Roman" w:cs="Times New Roman" w:eastAsia="Times New Roman" w:hAnsi="Times New Roman"/>
          <w:sz w:val="18"/>
          <w:szCs w:val="18"/>
          <w:color w:val="auto"/>
        </w:rPr>
        <w:t>—We are excited about what we do in our roles, as a company, and for our clients.</w:t>
      </w:r>
    </w:p>
    <w:p>
      <w:pPr>
        <w:spacing w:after="0" w:line="238" w:lineRule="exact"/>
        <w:rPr>
          <w:rFonts w:ascii="Times New Roman" w:cs="Times New Roman" w:eastAsia="Times New Roman" w:hAnsi="Times New Roman"/>
          <w:sz w:val="18"/>
          <w:szCs w:val="18"/>
          <w:color w:val="auto"/>
        </w:rPr>
      </w:pPr>
    </w:p>
    <w:p>
      <w:pPr>
        <w:ind w:left="1000" w:right="100" w:hanging="317"/>
        <w:spacing w:after="0" w:line="300"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Curiosity</w:t>
      </w:r>
      <w:r>
        <w:rPr>
          <w:rFonts w:ascii="Times New Roman" w:cs="Times New Roman" w:eastAsia="Times New Roman" w:hAnsi="Times New Roman"/>
          <w:sz w:val="18"/>
          <w:szCs w:val="18"/>
          <w:color w:val="auto"/>
        </w:rPr>
        <w:t>—We know that the best decisions are not always obvious or easy. We invest the time to understand and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Fanatical Focus</w:t>
      </w:r>
      <w:r>
        <w:rPr>
          <w:rFonts w:ascii="Times New Roman" w:cs="Times New Roman" w:eastAsia="Times New Roman" w:hAnsi="Times New Roman"/>
          <w:sz w:val="18"/>
          <w:szCs w:val="18"/>
          <w:color w:val="auto"/>
        </w:rPr>
        <w:t>—We have obsessive zeal about people, promises, and innovative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Work, Always</w:t>
      </w:r>
      <w:r>
        <w:rPr>
          <w:rFonts w:ascii="Times New Roman" w:cs="Times New Roman" w:eastAsia="Times New Roman" w:hAnsi="Times New Roman"/>
          <w:sz w:val="18"/>
          <w:szCs w:val="18"/>
          <w:color w:val="auto"/>
        </w:rPr>
        <w:t>—We bring our A-game. We work with facts, always communicating clearly and respectfully.</w:t>
      </w:r>
    </w:p>
    <w:p>
      <w:pPr>
        <w:spacing w:after="0" w:line="238" w:lineRule="exact"/>
        <w:rPr>
          <w:rFonts w:ascii="Times New Roman" w:cs="Times New Roman" w:eastAsia="Times New Roman" w:hAnsi="Times New Roman"/>
          <w:sz w:val="18"/>
          <w:szCs w:val="18"/>
          <w:color w:val="auto"/>
        </w:rPr>
      </w:pPr>
    </w:p>
    <w:p>
      <w:pPr>
        <w:ind w:left="1000" w:right="200" w:hanging="317"/>
        <w:spacing w:after="0" w:line="300"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Making It Happen</w:t>
      </w:r>
      <w:r>
        <w:rPr>
          <w:rFonts w:ascii="Times New Roman" w:cs="Times New Roman" w:eastAsia="Times New Roman" w:hAnsi="Times New Roman"/>
          <w:sz w:val="18"/>
          <w:szCs w:val="18"/>
          <w:color w:val="auto"/>
        </w:rPr>
        <w:t>—As individuals and as a team, we are agile with a bias toward speed, action, and automation.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accountable for our results.</w:t>
      </w:r>
    </w:p>
    <w:p>
      <w:pPr>
        <w:spacing w:after="0" w:line="157" w:lineRule="exact"/>
        <w:rPr>
          <w:rFonts w:ascii="Times New Roman" w:cs="Times New Roman" w:eastAsia="Times New Roman" w:hAnsi="Times New Roman"/>
          <w:sz w:val="18"/>
          <w:szCs w:val="18"/>
          <w:color w:val="auto"/>
        </w:rPr>
      </w:pPr>
    </w:p>
    <w:p>
      <w:pPr>
        <w:ind w:left="1000" w:right="40" w:hanging="317"/>
        <w:spacing w:after="0" w:line="300"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Joyful, Optimistic, &amp; Fun</w:t>
      </w:r>
      <w:r>
        <w:rPr>
          <w:rFonts w:ascii="Times New Roman" w:cs="Times New Roman" w:eastAsia="Times New Roman" w:hAnsi="Times New Roman"/>
          <w:sz w:val="18"/>
          <w:szCs w:val="18"/>
          <w:color w:val="auto"/>
        </w:rPr>
        <w:t>—We love and support our clients, team, and communities. We strive to create positive energy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everything we do.</w:t>
      </w:r>
    </w:p>
    <w:p>
      <w:pPr>
        <w:spacing w:after="0" w:line="160"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7"/>
          <w:szCs w:val="17"/>
          <w:color w:val="auto"/>
        </w:rPr>
        <w:t>We have won numerous workplace awards, including being recognized as a Fortune Great Place to Work and as one of the Top Places to Work by Becker’s Hospital Review for two consecutive years. We are proud of our strong company culture and investment in long-term career growth for our people, which is evidenced by the long tenure of many of our team members with our organization. We believe it is important to put our team members first, and we provide all of our team members competitive health benefits,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401(k) investment options, and paid family leave, and conduct mental health and other workshops for our team members. We also provide our team members with paid leave for volunteer time, as we believe it is important for Waystar and its team members to give back to the community. We regularly celebrate individuals and team members who exemplify Waystar’s values. We believe this helps us reinforce our values and creates a performance-focused culture that enables us to continue to attract, retain, and develop talent, which is critical to our long-term success.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Development, Leadership, and Engagement</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To engage and incentivize our workforce, we provide a wide range of training and development opportunities to support and motivate our team members to operate at their best and succeed. These opportunities include, but are not limited to, Front Line Leadership training for people leaders, Emerging Leader Training for potential leaders, and an annual Leadership Summit for our top leaders. All team members participate in annual training that reinforces our values, certifies team members on key business processes, and helps to promote a workplace of respect, safety, and engagement.</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continued engagement of our talented and committed team is critical to our business. Each year, we gauge our team members’ level of engagement and satisfaction by conducting an employee engagement survey with the assistance of a third-party. As a part of this process, we solicit feedback from team members on training and development opportunities, benefits, well-being, and our ethical culture. We also ask for feedback about their people leader’s effectiveness and ability to foster a more inclusive and diverse workplace.</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Waystar, we aspire to create an environment where every team member, with their unique background, feels a sense of belonging. We believe that we rise by lifting others up and provide a safe, inclusive work environment where every team member can be their whole, authentic self-no matter their age, race, sexual orientation, gender, or unique background. We have an Inclusion &amp; Diversity Council that oversees various events and initiatives, including various mentorship programs that provide underrepresented students with salaried internships. We also have a “Waystar Day” every quarter that focuses on different initiatives such as kindness, diversity and inclusion, and volunteering, as well as education assistance opportunities in furtherance of self-advancement and development. In addition, we have five Affinity Groups (BIPOC, Families, LGBTQIA+, Military, and Women) which seek to foster a sense of shared community and empowerment for employees who share a common social identity, such as gender, race, ethnicity, and sexual orientation. Team members can voluntarily join an Affinity Group to network, discuss and exchange ideas, and enhance their professional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research and development function and our cloud-based product portfolio provides us with a competitive advantage that enables us to innovate faster and more efficiently, while simultaneously delivering better solutions for our clients. Our research and development team is responsible for the design, development, testing, and enhancement of our products and software. As of December 31, 2024, we had approximately more than 280 team members dedicated to product and research and development. For</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years ended December 31, 2024, 2023, and 2022 our research and development expense was $48.8 million, $35.3 million, and $32.8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a highly fragmented and competitive market that is characterized by rapidly evolving technology standards, evolving regulatory requirements, and frequent changes in client needs and introduction of new products and solutions. However, we believe we have a competitive advantage based on the breadth, depth, and quality of our solutions, our innovative cloud-based software platform, our deep domain expertise developed over two decades of industry experience, the differentiated client service we provide, and the ROI we deliver.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principal competitors include, but are not limited to:</w:t>
      </w:r>
    </w:p>
    <w:p>
      <w:pPr>
        <w:spacing w:after="0" w:line="223" w:lineRule="exact"/>
        <w:rPr>
          <w:sz w:val="20"/>
          <w:szCs w:val="20"/>
          <w:color w:val="auto"/>
        </w:rPr>
      </w:pPr>
    </w:p>
    <w:p>
      <w:pPr>
        <w:ind w:left="1000" w:right="80" w:hanging="317"/>
        <w:spacing w:after="0" w:line="28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cycle technology vendors</w:t>
      </w:r>
      <w:r>
        <w:rPr>
          <w:rFonts w:ascii="Times New Roman" w:cs="Times New Roman" w:eastAsia="Times New Roman" w:hAnsi="Times New Roman"/>
          <w:sz w:val="18"/>
          <w:szCs w:val="18"/>
          <w:color w:val="auto"/>
        </w:rPr>
        <w:t>: vendors varying in scale that specialize in revenue cycle management. These vendors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utilize legacy technology, have a limited breadth of solutions or typically focus on providers in specific settings of care, such as hospitals or ambulatory practices.</w:t>
      </w:r>
    </w:p>
    <w:p>
      <w:pPr>
        <w:spacing w:after="0" w:line="172" w:lineRule="exact"/>
        <w:rPr>
          <w:rFonts w:ascii="Times New Roman" w:cs="Times New Roman" w:eastAsia="Times New Roman" w:hAnsi="Times New Roman"/>
          <w:sz w:val="18"/>
          <w:szCs w:val="18"/>
          <w:color w:val="auto"/>
        </w:rPr>
      </w:pPr>
    </w:p>
    <w:p>
      <w:pPr>
        <w:jc w:val="both"/>
        <w:ind w:left="1000" w:right="340" w:hanging="317"/>
        <w:spacing w:after="0" w:line="28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Point solution vendors</w:t>
      </w:r>
      <w:r>
        <w:rPr>
          <w:rFonts w:ascii="Times New Roman" w:cs="Times New Roman" w:eastAsia="Times New Roman" w:hAnsi="Times New Roman"/>
          <w:sz w:val="18"/>
          <w:szCs w:val="18"/>
          <w:color w:val="auto"/>
        </w:rPr>
        <w:t>: vendors that specialize or focus on point solutions for a specific healthcare payment workflow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addressing the entire healthcare payments workflow from pre-encounter to post-encounter. In addition, certain vendors focus exclusively on patient payments.</w:t>
      </w:r>
    </w:p>
    <w:p>
      <w:pPr>
        <w:spacing w:after="0" w:line="172" w:lineRule="exact"/>
        <w:rPr>
          <w:rFonts w:ascii="Times New Roman" w:cs="Times New Roman" w:eastAsia="Times New Roman" w:hAnsi="Times New Roman"/>
          <w:sz w:val="18"/>
          <w:szCs w:val="18"/>
          <w:color w:val="auto"/>
        </w:rPr>
      </w:pPr>
    </w:p>
    <w:p>
      <w:pPr>
        <w:jc w:val="both"/>
        <w:ind w:left="1000" w:right="200" w:hanging="317"/>
        <w:spacing w:after="0" w:line="28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EHR and PM systems providers</w:t>
      </w:r>
      <w:r>
        <w:rPr>
          <w:rFonts w:ascii="Times New Roman" w:cs="Times New Roman" w:eastAsia="Times New Roman" w:hAnsi="Times New Roman"/>
          <w:sz w:val="18"/>
          <w:szCs w:val="18"/>
          <w:color w:val="auto"/>
        </w:rPr>
        <w:t>: certain EHR and PM systems, including certain of our strategic partners and those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integrate, offer, or may begin to offer, solutions such as claim management and patient management solutions, payment processing tools, and direct patient communication solutions.</w:t>
      </w:r>
    </w:p>
    <w:p>
      <w:pPr>
        <w:spacing w:after="0" w:line="172" w:lineRule="exact"/>
        <w:rPr>
          <w:rFonts w:ascii="Times New Roman" w:cs="Times New Roman" w:eastAsia="Times New Roman" w:hAnsi="Times New Roman"/>
          <w:sz w:val="18"/>
          <w:szCs w:val="18"/>
          <w:color w:val="auto"/>
        </w:rPr>
      </w:pPr>
    </w:p>
    <w:p>
      <w:pPr>
        <w:jc w:val="both"/>
        <w:ind w:left="1000" w:right="40" w:hanging="317"/>
        <w:spacing w:after="0" w:line="28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Internally developed software or manual processes</w:t>
      </w:r>
      <w:r>
        <w:rPr>
          <w:rFonts w:ascii="Times New Roman" w:cs="Times New Roman" w:eastAsia="Times New Roman" w:hAnsi="Times New Roman"/>
          <w:sz w:val="18"/>
          <w:szCs w:val="18"/>
          <w:color w:val="auto"/>
        </w:rPr>
        <w:t>: large healthcare providers may have sufficient IT resources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maintain proprietary internal systems, or to consider developing new custom systems. Many healthcare providers may also rely on manual tasks and labor, without the use of technology enabled systems.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include the following:</w:t>
      </w:r>
    </w:p>
    <w:p>
      <w:pPr>
        <w:spacing w:after="0" w:line="225"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depth, and quality of products and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financial and operational performance improvement through the use of products and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reliability of solutions;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convenience;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integrate our platform solutions with various EHR and PM systems and other technology.</w:t>
      </w:r>
    </w:p>
    <w:p>
      <w:pPr>
        <w:spacing w:after="0" w:line="23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compete favorably with respect to each of these factors. However, we believe that our ability to remain competitive will depend on the continued success of our disciplined investments in research and development and sales and marketing programs. See Part I, Item 1A, “Risk Factors—Risks Related to our Business and our Industry—We operate in a highly competitive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rely on a combination of trademark, patent, trade secret, copyright, and other intellectual property laws, as well as contractual provisions, including in employment, confidentiality, and inventions assignment agreements to protect our intellectual property, intangible assets, and associated proprietary rights. Our intellectual property, particularly our know-how is material to the conduct of our business. The success of our business depends in part on our ability to use our trademarks, service marks, and other intellectual property in the operation of our business and platform. In the United States, we have 19 trademark registrations, 15 issued patents, and 26 copyright registrations. In addition, we have registered the www.waystar.com domain name, which we use in connection with our platform.</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procedures in place to monitor for potential infringement of our intellectual property, and it is our policy to take appropriate action to enforce our intellectual property, taking into account the strength of our claim, likelihood of success, cost, and overall business priorities. See Part I, Item 1A, “Risk Factors—Risks Related to Information Technology Systems, Cybersecurity, Data Privacy, and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Compliance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Security and compliance are our top priorities. We maintain a comprehensive security program designed to safeguard the confidentiality, integrity, and availability of our clients’ data. In particular, we deploy physical, administrative, and technical controls to protect the security and privacy of patient information.</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operate a cloud-based platform that offers reliability, performance, security, and privacy for our clients. We have infrastructure in place with co-located data centers, and within Microsoft Azure, Amazon Web Service, and Google Cloud Platform environments, to securely manage and maintain our clients’ patient information.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use external security auditors and industry-leading vendors, such as CrowdStrike and CYE to ensure we have the controls and procedures in place to protect our clients’ sensitive information. We have industry certifications, including HITRUST, PCI-DSS Level 1 Service Provider, SSAE 18 SOC 2, and validated PCI Point-to-Point Encryption. As a PCI-DSS Level 1 Service Provider, we are committed to upholding industry security standards to cardholder data. We received our HITRUST CSF certification in 2021.</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committed to protecting the information and privacy of our clients and their patients. We are both a “covered entity” when we provide our clearinghouse services and a “business associate” as defined under HIPAA or subcontractor to a business associate to healthcare providers or revenue cycle management companies. We sign business associate agreements (“BAA”) that govern our uses and disclosures of protected health information (“PHI”) to our own business associates and on behalf of our covered entity clients that engage us to provide our software solutions. Such BAAs must, among other things, provide adequate written assurances as to how we will use and disclose PHI; that we will implement reasonable administrative, physical, and technical safeguards to protect such PHI from misuse; that we will enter into similar agreements with our agents and subcontractors that have access to the information; that we will report security incidents and other inappropriate uses or disclosures of PHI; and that we will assist the client with certain of its duties under HIPAA.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complex, and rapidly changing federal and state laws, regulations, and industry standards. These laws and regulations can vary significantly from jurisdiction to jurisdiction, and interpretation and enforcement of existing laws and regulations by governmental and regulatory authorities may change periodically. We cannot be assured that a review of our business by courts or governmental or regulatory authorities will not result in determinations that could adversely affect our operations or that the healthcare regulatory environment will not change in a way that restricts our operations. Federal and state legislatures also may enact various legislative proposals that could materially impact certain aspects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 Information Privacy and Security Laws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individually identifiable health information. In particular, HIPAA established privacy and security standards that limit the use and disclosure of PHI, and required the implementation of administrative, physical, and technical safeguards to ensure the confidentiality, integrity, and availability of individually identifiable health information in both paper and electronic form. HIPAA also required the U.S. Department of Health and Human Services (“HHS”) to adopt national standards establishing electronic transaction standards that all healthcare providers must use when submitting or receiving certain healthcare transactions electronically. For example, claims for reimbursement that are transmitted electronically to payors must comply with specific formatting standards, and these standards apply whether the payor is a government or a private entity. We are contractually required to structure and provide our solutions in a way that supports our clients’ HIPAA compliance obligations to use prescribed electronic formats.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HIPAA requires us to enter into written agreements with covered entities, business associates, and subcontractors with respect to uses and disclosures of PHI. Covered entities, such as us and our clients, may be subject to penalties for, among other activities, failing to enter into a BAA where required by law or as a result of a business associate violating HIPAA, if the business associate is found to be an agent of the covered entity and acting within the scope of the agency. Business associates are also directly subject to liability under HIPAA. In instances where we act as a business associate to a covered entity, there is the potential for additional liability beyond our status as a covered entity. Violations of HIPAA may result in significant civil and criminal penalties, as well as monitoring or resolution agreements. A single breach incident can result in violations of multiple standards.</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must also comply with HIPAA’s breach notification rule and equivalent state breach notification laws. Under the breach notification rule, covered entities must notify affected individuals without unreasonable delay in the case of a breach of unsecured PHI, which compromises the privacy or security of the PHI, but no later than 60 days after discovery of the breach by a covered entity or its agents. Many state laws and regulations require affected individuals to be notified in the event of a data breach involving PHI within a shorter timeframe. Under HIPAA, all impermissible uses or disclosures of unsecured PHI are presumed to be breaches unless an exception to the definition of breach applies or the covered entity or business associate establishes that there is a low probability the PHI has been compromised based on a risk assessment of at least four regulatory factors. In addition, notification must be provided to HHS and the local media in cases where a breach affects 500 or more individuals. Breaches affecting fewer than 500 individuals must be reported to HHS on an annual basis. There can be no assurance that we will not be the subject of an investigation (arising out of a reportable breach incident, audit, or otherwise) alleging non-compliance with HIPAA in our maintenance of PHI. Violations of HIPAA by providers like us, including, but not limited to, failing to implement appropriate administrative, physical, and technical safeguards, have resulted in enforcement actions and in some cases triggered settlement payments or civil monetary penalties.</w:t>
      </w:r>
    </w:p>
    <w:p>
      <w:pPr>
        <w:spacing w:after="0" w:line="19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the HITECH Act mandated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past year, HHS has also issued new final and proposed regulations and guidance on cybersecurity of electronic PHI (“ePHI”) uses and disclosures of substance use information, reproductive health information, and online tracking technologies that access individually identifiable health information. For example, in April 2024, a new HHS final rule amending substance use confidentiality regulations (42 C.F.R. Part 2 or Part 2) took effect. The final rule included changes to better facilitate care coordination, updates to the fine structure for Part 2 violations to align with the civil and criminal enforcement authorities that apply to HIPAA violations, and increases in penalties for Part 2 violations to a $50,000 maximum penalty for failure to comply with the Part 2 requirements and a $250,000 maximum penalty for the wrongful disclosure of individually identifiable health information.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2024, HHS Office for Civil Rights (“OCR”) issued a notice of proposed rulemaking to better protect the confidentiality, integrity, and availability of ePHI. The proposed rule would, among other requirements, remove the distinction between “required” and “addressable” implementation specifications and make all implementation specifications required with specific, limited exceptions; require written documentation of all HIPAA Security Rule policies, procedures, plans, and analyses; require regulated entities to conduct compliance audits at least once every twelve months to ensure their compliance with the HIPAA Security Rule requirements; require encryption of ePHI at rest and in transit; require the use of multi-factor authentication, with limited exceptions; and require network segmentation and separate technical controls. The proposed rule remains subject to public comment until March 2025.</w:t>
      </w:r>
    </w:p>
    <w:p>
      <w:pPr>
        <w:spacing w:after="0" w:line="8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April 2024, HHS OCR issued a final rule that amended HIPAA privacy regulations to prohibit the disclosure of PHI related to lawful reproductive health care in certain circumstances. The final rule prohibits the use or disclosure of PHI when PHI is sought for certain investigations or to impose liability on individuals, health care providers, or others who seek, obtain, provide, or facilitate reproductive health care that is lawful under the circumstances in which such health care is provided. It also requires a health care provider, health plan, clearinghouse, or their business associates, to obtain a signed attestation that certain requests for PHI potentially related to reproductive health care are not made for these prohibited purposes. The final rule took effect on June 25, 2024.</w:t>
      </w:r>
    </w:p>
    <w:p>
      <w:pPr>
        <w:spacing w:after="0" w:line="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Additionally, in a 2023 guidance document, HHS OCR took the position that entities regulated under HIPAA are not permitted to use tracking technologies in a manner that would result in an impermissible disclosure of PHI. Such tracking technologies have been used to collect and analyze information about user behavior and enhance the user experience. In March 2024, HHS OCR updated its 2023 guidance on the use of online tracking technologies on webpages and applications by HIPAA covered entities and business associates to address the disclosure of individually identifiable health information through unauthenticated, public-facing webpages. There have been several class action lawsuits asserting that HIPAA covered entities and business associates improperly used or disclosed PHI through tracking technologies.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Laws, Regulations, and Industry Standards</w:t>
      </w:r>
    </w:p>
    <w:p>
      <w:pPr>
        <w:spacing w:after="0" w:line="121"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In addition, because our business and platform involve the Processing of personal information and other confidential and regulated information, we are also subject to numerous additional laws, regulations, and industry standards. For example, the California Consumer Privacy Act of 2018 (“CCPA”), which was subsequently amended by the California Privacy Rights and Enforcement Act of 2020 (“CPRA”), originally took effect in 2020, and provides California residents expanded privacy rights and protections, and provides for civil penalties for certain violations. Many additional jurisdictions around the world, including many additional U.S. states, have adopted or are proposing to adopt laws and regulations relating to privacy, data protection, and data security, and we may become subject to additional requirements and obligations as we expand the scope of our business and operations. Further, we are also subject to industry standards such as PCI-DSS as a result of the credit card payments initiated by patients and provider staff members. For a discussion of the risks and uncertainties affecting our business related to compliance with data privacy laws and regulations, please see Part I, Item 1A, “Risk Factors—Risks Related to Information Technology Systems, Cybersecurity, Data Privacy, and Intellectual Property.”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Provisions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number of federal and state laws, generally referred to as fraud and abuse laws, apply to healthcare providers, physicians and others that make, offer, seek or receive referrals or payments for products or services that may be paid for through any federal or state healthcare program and in some instances any private program. Given the breadth of these laws and regulations, they may affect our business, either directly or because they apply to our clients.</w:t>
      </w:r>
    </w:p>
    <w:p>
      <w:pPr>
        <w:spacing w:after="0" w:line="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is broadly worded and prohibits, among other things, knowingly and willfully offering, paying, soliciting, or receiving remuneration, directly or indirectly, in cash or in kind, in return for or to induce (1) the referral of an individual covered by federal healthcare programs, such as Medicare and Medicaid, to a person for the furnishing or arranging for the furnishing of any item or service for which payment may be made in whole or in part under a federal healthcare program, or (2) the purchasing, leasing, or ordering, or arranging for or recommending the purchasing, leasing, or ordering of any good, facility, service, or item for which payment may be made in whole or in part under a federal healthcare program. Court decisions have held that the AKS can be violated even if only “one purpose” of remuneration is to induce or reward referrals or other business generated between the parties. Further, a person or entity does not need to have actual knowledge of this statute or specific intent to violate it in order to have committed a violation. Violations of the AKS include imprisonment for up to ten years, exclusion from participation in federal healthcare programs, including Medicare and Medicaid, potential liability under the federal civil False Claims Act, 31 U.S.C. § 3729 et seq. (the “FCA”) (as discussed below), and significant civil and criminal fines and monetary penalties, plus a civil assessment of up to three times the total payments between the parties to the arrangement. Larger fines can be imposed upon corporations under the provisions of the U.S. Sentencing Guidelines and the Alternate Fines Statute. Individuals and entities convicted of violating the AKS are subject to mandatory exclusion from participation in Medicare, Medicaid, and other federal healthcare programs for a minimum of five years in the case of criminal conviction.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a few statutory exceptions, the HHS, Office of Inspector General has promulgated safe harbor regulations that outline categories of activities that are deemed not to be in violation of the AKS, provided all applicable criteria are met. The failure of a financial relationship to meet all of the applicable safe harbor criteria does not necessarily mean that particular arrangement violates the AKS, but instead will be reviewed on a case-by-case basis in light of the parties’ intent and the arrangement’s potential for abuse. Arrangements that do not satisfy a safe harbor may be subject to greater scrutiny by enforcement agencies.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HIPAA, there are additional provisions regarding healthcare fraud and false statements relating to healthcare matters, which if not complied with, could have an impact on our business. The healthcare fraud provision prohibits knowingly and willfully executing, or attempting to execute, a scheme to defraud any healthcare benefit program, including private payors. Similar to the AKS, a person or entity no longer needs to have actual knowledge of the healthcare fraud provision or specific intent to violate it in order to have committed a violation. The false statements provision prohibits knowingly and willfully falsifying, concealing, or covering up a material fact or making any materially false, fictitious, or fraudulent statement in connection with the delivery of or payment for healthcare benefits, items, or services. Violations of these provisions are felonies and may result in fines or imprisonment, or, in the case of the healthcare fraud provision, exclusion from government programs.</w:t>
      </w:r>
    </w:p>
    <w:p>
      <w:pPr>
        <w:spacing w:after="0" w:line="192"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Additionally, the Civil Monetary Penalties Law, 42 U.S.C. § 1320a-7a, authorizes the imposition of civil monetary penalties, assessments, and exclusion against an individual or entity based on a variety of prohibited conduct, including, but not limited to:</w:t>
      </w:r>
    </w:p>
    <w:p>
      <w:pPr>
        <w:spacing w:after="0" w:line="140" w:lineRule="exact"/>
        <w:rPr>
          <w:sz w:val="20"/>
          <w:szCs w:val="20"/>
          <w:color w:val="auto"/>
        </w:rPr>
      </w:pPr>
    </w:p>
    <w:p>
      <w:pPr>
        <w:ind w:left="1000" w:right="20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claimed,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199" w:lineRule="exact"/>
        <w:rPr>
          <w:rFonts w:ascii="Times New Roman" w:cs="Times New Roman" w:eastAsia="Times New Roman" w:hAnsi="Times New Roman"/>
          <w:sz w:val="18"/>
          <w:szCs w:val="18"/>
          <w:color w:val="auto"/>
        </w:rPr>
      </w:pPr>
    </w:p>
    <w:p>
      <w:pPr>
        <w:ind w:left="1000" w:right="340" w:hanging="317"/>
        <w:spacing w:after="0" w:line="29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remuneration to a federal healthcare program beneficiary that the individual or entity knows or should know is likely to influence the beneficiary to order or receive healthcare items or services from a particular provider;</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contracts with or making payments to an entity or individual excluded from participation in the federal healthcare programs or included on CMS’ preclusion list;</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violating the AKS;</w:t>
      </w:r>
    </w:p>
    <w:p>
      <w:pPr>
        <w:spacing w:after="0" w:line="238" w:lineRule="exact"/>
        <w:rPr>
          <w:rFonts w:ascii="Times New Roman" w:cs="Times New Roman" w:eastAsia="Times New Roman" w:hAnsi="Times New Roman"/>
          <w:sz w:val="18"/>
          <w:szCs w:val="18"/>
          <w:color w:val="auto"/>
        </w:rPr>
      </w:pPr>
    </w:p>
    <w:p>
      <w:pPr>
        <w:ind w:left="1000" w:right="40" w:hanging="317"/>
        <w:spacing w:after="0" w:line="29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for payment for items and services furnished under a federal healthcare program;</w:t>
      </w:r>
    </w:p>
    <w:p>
      <w:pPr>
        <w:spacing w:after="0" w:line="162" w:lineRule="exact"/>
        <w:rPr>
          <w:rFonts w:ascii="Times New Roman" w:cs="Times New Roman" w:eastAsia="Times New Roman" w:hAnsi="Times New Roman"/>
          <w:sz w:val="18"/>
          <w:szCs w:val="18"/>
          <w:color w:val="auto"/>
        </w:rPr>
      </w:pPr>
    </w:p>
    <w:p>
      <w:pPr>
        <w:ind w:left="1000" w:right="640" w:hanging="317"/>
        <w:spacing w:after="0" w:line="28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1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report and return an overpayment owed to the federal government.</w:t>
      </w:r>
    </w:p>
    <w:p>
      <w:pPr>
        <w:spacing w:after="0" w:line="2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Violations of applicable fraud and abuse laws could result in substantial civil monetary penalties that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and state healthcare programs. In addition, should an individual providing services under our client contracts become excluded, we may be in violation of our agreements with clients and required to refund amounts attributable to services performed or sufficiently linked to an excluded individual.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and Fraudulent Claims Laws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numerous federal and state laws that forbid (i) submitting a false claim, (ii) causing the submission of a false claim,</w:t>
      </w:r>
    </w:p>
    <w:p>
      <w:pPr>
        <w:spacing w:after="0" w:line="27" w:lineRule="exact"/>
        <w:rPr>
          <w:sz w:val="20"/>
          <w:szCs w:val="20"/>
          <w:color w:val="auto"/>
        </w:rPr>
      </w:pPr>
    </w:p>
    <w:p>
      <w:pPr>
        <w:ind w:right="60" w:firstLine="8"/>
        <w:spacing w:after="0" w:line="251"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 known overpayment, or (iv) engaging in similar types of conduct. The FCA, among other things, prohibits an individual or entity from knowingly presenting or causing to be presented a false or fraudulent claim for payment to the government, including but not limited to the Medicare and Medicaid programs and related managed care programs. Many states have their own false claims laws prohibiting similar conduct to the extent the claim seeks payment from state funds, including Medicaid, and states are becoming increasingly active in using such laws to police false bills, false requests for payment, and other activities. The standard for “knowledge” under the FCA includes “reckless disregard” or “deliberate ignorance” of the truth or falsity of the information. There are a number of other potential bases for liability under the FCA, including knowingly and improperly avoiding an obligation to repay money to the government (often called the “reverse false claims” provision). The government has used the FCA to bring civil claims for Medicare and other government program fraud based on allegations including but not limited to those involving coding issues (including up-coding), the submission of false cost or other reports, and billing for services at a higher payment rate than appropriate. Violations of other laws, such as the AKS and the Stark Law, can serve as a basis for liability under the FCA.</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provides that claims for payment that are tainted by a violation of the AKS (which could include, for example, illegal incentives, or remuneration) are false for purposes of the FCA. In addition, amendments to the FCA and Social Security Act impose severe penalties for the knowing and improper retention of overpayments from government payors. The FCA may be enforced by the federal government directly or by a private qui tam plaintiff (a “relator”) on the government’s behalf. In the latter circumstance, the government is required to investigate the allegations brought by the relator, and then must decide whether or not to intervene. Even if the government declines to intervene, the relator may continue to proceed with the lawsuit on the government’s behalf. When a relator brings a qui tam action under the FCA, the defendant often will not be made aware of the lawsuit until the government commences its own investigation or makes a determination whether or not it will intervene.</w:t>
      </w:r>
    </w:p>
    <w:p>
      <w:pPr>
        <w:spacing w:after="0" w:line="1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If a defendant is found liable under the FCA, the defendant is subject to penalties for each separate false claim, plus up to three times the amount of damages caused by each false claim, which can be as much as the amounts received directly or indirectly from the government for each such false claim. These penalties are adjusted annually. A successful qui tam relator is entitled to receive a share of any settlement of judgment. In addition to civil enforcement under the FCA, the federal government can use several criminal statutes to prosecute persons who are alleged to have submitted false or fraudulent claims for payment to the federal government. It is difficult to predict how future enforcement initiatives may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Stark Law and Similar State Laws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Ethics in Patient Referrals Act, known as the Stark Law, prohibits certain types of referral arrangements between physicians and healthcare entities and thus potentially applies to our clients. The law prohibits a physician who has (or whose immediate family member has) a financial relationship with a provider from making referrals to that entity for “designated health services” if payment for the services may be made under Medicare or Medicaid. If such a financial relationship exists, referrals are prohibited unless a statutory or regulatory exception is available. Further, an entity that furnishes designated health services pursuant to a prohibited referral may not present or cause to be presented a claim or bill for such services to the Medicare program or to any other individual or entity. Violations of the Stark Law can result in civil monetary penalties and exclusion from federal healthcare programs and form the basis for liability under the FCA. Laws in many states similarly forbid billing based on referrals between individuals and entities that have various financial, ownership, or other business relationships. Any such violations by, and penalties and exclusions imposed upon, our clients could adversely affect their financial condition and, in turn, could adversely affect our own financial condition.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Fraud and Abuse Laws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states, including certain states in which we conduct our business, have adopted fraud and abuse laws similar to the federal laws described above. These laws are enforced by state courts and regulatory authorities, each with broad discretion, and the scope of these laws and the interpretations of them vary by jurisdiction. Some state fraud and abuse laws apply to items and services reimbursed by any third party payor, including commercial insurers. For example, several states have anti-kickback and self-referral prohibitions, which may apply regardless of whether the payor for such claims is Medicare or Medicaid and which may affect our ability to enter into financial relationships with certain entities or individuals. A determination of liability under state fraud and abuse laws could result in fines, penalties, and restrictions on our ability to operate in these jurisdictions, administrative sanctions, exclusions from governmental healthcare programs, refund requirements, and disciplinary action by the applicable governmental authority, and could have a material adverse effect on our business, financial condition, results of operations, cash flows, and reputation.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Fee Splitting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enter into contracts with healthcare providers pursuant to which we provide them with software solutions, and may be subject to regulatory oversight, including corporate practice of medicine and fee- splitting prohibitions. Some states have enacted laws and regulations prohibiting business corporations from practicing medicine and limiting the extent to which physicians and certain other healthcare professionals may be employed by non-physicians or business corporations. These laws are intended to prevent interference in the medical decision-making process by anyone who is not a licensed physician. In addition, various state laws also generally prohibit the sharing or splitting professional services income or fees with lay entities or persons. Activities other than those directly related to the delivery of healthcare may be considered an element of the practice of medicine in many states. The scope and enforcement of such corporate practice of medicine and fee-splitting laws varies from state to state. Violations of these laws could require us to restructure our operations and arrangements and may result in penalties or other adverse action.</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Some of these requirements may apply to us even if we do not have a physical presence in the state, based solely on our agreements with healthcare providers licensed in the state. Governmental or regulatory authorities or other parties may assert that we are engaged in the corporate practice of medicine or that our contractual arrangements with healthcare providers constitute unlawful fee splitting. In this event, failure to comply could lead to adverse judicial or administrative action against us and/or our healthcare provider clients, civil or criminal penalties, receipt of cease and desist orders from state regulators, the need to make changes to our contracts, and other materially adverse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Reimbursement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clients are subject to regulation by a number of governmental agencies, including those that administer the Medicare and Medicaid programs. Accordingly, our clients are sensitive to legislative and regulatory changes in, and limitations on, the government healthcare programs and changes in reimbursement policies, processes, and payment rates. Our clients may also be impacted by recent or future federal government cost-cutting and efficiency measures and any actual or potential reduction in the federal workforce that administers federal healthcare programs. During recent years, there have been numerous federal legislative and administrative actions that have affected government programs, including adjustments that have reduced or increased payments to physicians and other healthcare providers. It is possible that the federal or state governments will implement additional reductions, increases or changes in reimbursement or that there will be substantial changes to federal healthcare programs or other government programs or spending that adversely affect our clients, or our cost of providing our solutions. Any such changes could adversely affect our own financial condition by reducing the reimbursement rates of our clients or otherwise materially impacting our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may also be subject to both federal and state regulatory agencies who have the authority to investigate consumer complaints relating to a variety of consumer protection laws, including but not limited to the Fair Debt Collections Practices Act (the “FDCPA”), the Telephone Consumer Protection Act (the “TCPA”), the Controlling the Assault of Non- Solicited Pornography and Marketing Act of 2003 (the “CAN-SPAM Act”), and any state equivalent(s) of the foregoing. Our business practices involve assisting clients in collecting non-defaulted amounts owed by patients for current and prior services activities, which may subject us to the FDCPA. The FDCPA restricts the methods we may use to contact and seek payment from patients regarding past due accounts. Many states impose additional requirements on debt collection practices, and some of those requirements may be more stringent than the federal requirements. Moreover, regulations governing debt collection are subject to changing interpretations that may be inconsistent among different jurisdictions. Such laws and regulations, if deemed to apply to us, are continually evolving and any enforcement actions under such laws could result in fines, penalties, litigation, and increased expenses associated with compliance.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liability including, but not limited to, potential liability for breach of contract or negligence claims by our clients, non-compliance with applicable laws and regulations, and employment-related claims. In certain circumstances, we may also be liable for the acts or omissions of others, such as our vendors or suppliers. 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Maximum potential future payments we could be required to make under these agreements is not determinable because it involves claims that may be made against us in the future but have not yet been made. We have not incurred costs to defend lawsuits or settle claims related to these indemnification agreements.</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attempt to manage our potential liability to third-parties through contractual protection (such as indemnification and limitation of liability provisions) in our contracts with clients and others, and through insurance. The contractual indemnification provisions vary in scope and may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83"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We may require our clients and other counterparties to maintain adequate insurance, and we currently maintain errors, omissions, and professional liability insurance coverage with limits we believe to be appropriate. The coverage provided by such insurance may not be adequate for all claims made and such claims may be contested by applicable insurance carriers.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were originally incorporated in Delaware on August 13, 2019 and subsequently changed our name to Waystar Holding Corp. on August 11, 2023. Our principal offices are located at 1550 Digital Drive, #300, Lehi, Utah 84043 and 9901 Linn Station Road, Louisville, Kentucky 40223. Our telephone number is (844) 492-9782. We maintain a website at waystar.com. We completed our initial public offering (“IPO”) in June 2024 and our common stock is listed on the Nasdaq Global Select Market (“Nasdaq”) under the symbol “WAY”.</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Waystar’s Annual Report on Form 10-K reports, Quarterly Reports on Form 10-Q, Current Reports on Form 8-K and all amendments to those reports filed with or furnished to the SEC pursuant to Section 13(a) or 15(d) of the Exchange Act, are publicly available free of charge on the Investor Relations section of our website at investors.waystar.com or at www.sec.gov as soon as reasonably practicable after these materials are filed with or furnished to the SEC. We also make available through the Investor Relations Section of our website other reports filed with or furnished to the SEC under the Exchange Act, including our proxy statements and reports filed by officers and directors under Section 16(a) of the Exchange Act, as well as our Code of Conduct, Corporate Governance Guidelines and Board committee charters.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Investors and others should note that we routinely announce financial and other material information using our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 website, SEC filings, press releases, public conference calls and webcasts. We use these channels of distribution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communicate with our investors and members of the public about our company, our services and other items of interest.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on our website is not part of this report or our other filings with the SEC. The information on our website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webpages referenced in this Annual Report on Form 10-K) is not part of this or any other report Waystar files with, or furnishes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set forth in this Annual Report on Form 10-K (this “Annual Report”), including “Management’s Discussion and Analysis of Financial Condition and Results of Operations” and our consolidated financial statements and related notes thereto. If any of the following risks actually occurs, our business, results of operations, prospects, and financial condition may be materially adversely affected. In such case, the trading price of our common stock could decline and you may lose all or part of your investment. The risks and uncertainties described below are those that we have identified as material but are not the only risks and uncertainties we face. Our business is also subject to general risks and uncertainties that affect many other companies, including but not limited to overall economic and industry conditions and additional risks not currently known to us or that we presently deem immaterial may arise or become material and may negatively impact our business, reputation, financial condition, results of operations, or the trading price of our common stock. Some statements in this Annual Report, including statements in the following risk factors, constitute forward-looking statements. See “Cautionary Statement Concerning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operate in a highly fragmented and competitive market that is characterized by rapidly evolving technology standards, evolving regulatory requirements, and frequent changes in client needs and introduction of new products and solutions. Our competitors range from smaller niche companies to large, well-financed, and technologically-sophisticated entities, including EHR and PM, with which we integrate. The increasing standardization of certain healthcare IT products and solutions has made it easier for companies to enter our industry with, or expand their product offerings to include, competitive products and solutions. Many software, hardware, information systems, and business process outsourcing companies, both with and without healthcare companies as their partners, offer or have announced their intention to offer products or solutions that are competitive with products and solutions that we offer. In particular, well- funded large technology companies are increasingly entering the revenue cycle technology market. In addition, EHR and PM providers (including those with which we integrate) could expand their product offerings to include solutions that compete directly with the solutions we provide. Some of these EHR and PM systems already offer, or may begin to offer, solutions that compete with our platform, including claim management and patient management solutions, payment processing tools, and direct patient communication solutions. Further, we expect that competition will continue to increase as a result of consolidation in both the technology and healthcare industries.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compete on the basis of several factors, including breadth, depth, and quality of products and solutions, ability to deliver financial and operational performance improvement through the use of products and solutions, quality and reliability of solutions, ease of use and convenience, brand recognition, price, and the ability to integrate our platform solutions with various EHR and PM systems and other new and existing technology, including AI. Some of our competitors have greater name recognition, longer operating histories, lower cost products and solutions,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strategic relationships with vendors of complementary products, solutions, technologies, or services to increase the availability of their products to the marketplace. Our competitors may have greater market share, larger client bases, more widely adopted proprietary technologies, greater marketing expertise, greater financial resources, and larger sales forces than we have, which could put us at a competitive disadvantage.</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Additionally, the pace of change in the revenue cycle technology market is rapid and there are frequent new solution introductions, solution enhancements, and evolving industry standards and requirements. We cannot guarantee that we will be able to upgrade our existing products and solutions, or introduce new products and solutions at the same rate as our competitors, or at all, nor can we guarantee that upgrades or new products and solutions will achieve market acceptance over or among competitive offerings, or at all.</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also may be subject to pricing pressures as a result of competition within the industry, among other factors. If we reduce our pricing in response to competitive pressure, our margins and results of operations will be adversely affected. Conversely, if we do not reduce our pricing, we could lose clients and be unable to attract new clients to our platform, which would adversely affect our business and our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These competitive pressures could have a material adverse impact on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retain our existing clients and attract new clients.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business substantially depends on our ability to retain our existing clients and attract new clients. We expect to derive a significant portion of our revenue from renewal of existing clients’ contracts and sales of additional products and solutions to existing clients. As a result, achieving a high client retention rate, expanding within existing clients, and selling additional products and solutions are critical to our revenue. In addition, our ability to increase our client base will be critical to our future growth. In order to retain existing clients and attract new clients, we must provide solutions that enable our existing and prospective clients to simplify and improve the payment process, increase speed and efficiencies, and deliver exceptional client service.</w:t>
      </w:r>
    </w:p>
    <w:p>
      <w:pPr>
        <w:spacing w:after="0" w:line="14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Factors that may affect our client satisfaction, our ability to sell additional products and solutions to existing clients, and expand our client base include, but are not limited to, the following:</w:t>
      </w:r>
    </w:p>
    <w:p>
      <w:pPr>
        <w:spacing w:after="0" w:line="135"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functionality of our platform;</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high-quality client experience;</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solutions;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hosting infrastructure;</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effectively train sales and marketing personnel;</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products that are easy to use and deliver tangible value to clients;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and our ability to quickly adapt;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clients, including healthcare staffing shortages and headcount reductions by our clients;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and solutions relative to our competitors;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with EHR or PM systems;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198"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for our platform solutions after the initial term expires, which is typically a two to three-year term. Our contracts generally provide for the automatic renewal for one-year subsequent terms, with the ability for our clients to terminate the contract with limited notice to us. Our clients’ renewal rates may fluctuate or decline because of several factors, including their satisfaction or dissatisfaction with our solutions and support, the prices of our solutions as compared to our competitors’ pricing, or reductions in our clients’ spending levels due to the macroeconomic environment or other factors. In addition, our clients may negotiate terms less advantageous to us upon renewal, which may reduce our revenue from these clients and may decrease our annual revenue. If our clients notify us of intent not to renew, renew their contracts upon less favorable terms, or at lower fee levels or fail to purchase new products and solutions from us, our revenue may decline, or our future revenue growth may be constrained.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be able to successfully execute on our business strategies in order to grow.</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growth strategies include expanding our relationships with existing clients, growing our client base, deepening and expanding our relationships with strategic channel partners, innovating and developing adjacent solutions, and selectively pursuing strategic acquisitions. We are actively identifying growth and expansion opportunities in new markets, technology, or offerings, as well as exploring opportunities to increase our existing client base and cross-sell and upsell to our existing clients. To successfully execute on our growth initiatives, we will need to, among other things, successfully identify and execute on those opportunities and successfully identify, acquire, and integrate complementary businesses. We must also manage changing business conditions, anticipate and react to changes in the regulatory environment, and develop expertise in areas outside of our business’s historical core competencies. In addition, our future financial results will depend in part on our ability to profitably manage our business in new markets that we may enter. Failure to successfully address any of the foregoing risks could have a significant negative impact on our business, financial condition, and results of operations.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accurately assess the risks related to acquisitions and successfully integrate acquired businesses.</w:t>
      </w:r>
    </w:p>
    <w:p>
      <w:pPr>
        <w:spacing w:after="0" w:line="22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We have historically acquired, and in the future may acquire, businesses, technologies, product lines, and other assets. The successful integration of any businesses and assets we have acquired or may acquire may be critical to our business and growth strategy.</w:t>
      </w:r>
    </w:p>
    <w:p>
      <w:pPr>
        <w:spacing w:after="0" w:line="14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amount and timing of the expected benefits of any acquisition, including potential synergies, are subject to risks and uncertainties. These risks and uncertainties include, but are not limited to, those relating to:</w:t>
      </w:r>
    </w:p>
    <w:p>
      <w:pPr>
        <w:spacing w:after="0" w:line="162"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the clients and suppliers of the acquired business;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or replace key personnel of the acquired business;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in payer, client, partner, vendor, or marketing relationships;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coordinate organizations that are geographically diverse and may have different business cultures;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acquired company clients of product upgrades and platform changes;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the integration of the operations of businesses or other assets we have acquired;</w:t>
      </w:r>
    </w:p>
    <w:p>
      <w:pPr>
        <w:spacing w:after="0" w:line="238" w:lineRule="exact"/>
        <w:rPr>
          <w:rFonts w:ascii="Times New Roman" w:cs="Times New Roman" w:eastAsia="Times New Roman" w:hAnsi="Times New Roman"/>
          <w:sz w:val="18"/>
          <w:szCs w:val="18"/>
          <w:color w:val="auto"/>
        </w:rPr>
      </w:pPr>
    </w:p>
    <w:p>
      <w:pPr>
        <w:ind w:left="1000" w:right="460" w:hanging="317"/>
        <w:spacing w:after="0" w:line="29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or migration of IT systems, including secure data sharing across networks securely, and maintaining the security of the IT systems;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or assumption of known and unknown liabilities;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goodwill, client lists, and amortization of expenses related to intangible assets;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contracting, and other requirements, including internal control over financial reporting.</w:t>
      </w:r>
    </w:p>
    <w:p>
      <w:pPr>
        <w:spacing w:after="0" w:line="23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cannot guarantee that any acquired businesses, technologies, services, product lines, or other assets will be successfully integrated with our operations in a timely or cost-effective manner, or at all. Failure to successfully integrate acquired businesses or to achieve anticipated operating synergies, revenue enhancements, or cost savings could have a material adverse impact on our business, results of operations, or financial condition. Although we attempt to evaluate the risks inherent in each transaction and evaluate acquisition candidates appropriately, we may not properly ascertain all risks and the acquired businesses or other assets may not perform as expected or enhance our value as a whole. Acquired businesses also may have larger than expected liabilities that are not covered by the indemnification, if any, that we are able to obtain from the sellers. If we are unable to successfully complete and integrate strategic acquisitions in a timely manner, our business and growth strategies could be negatively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establish and maintain strategic relationships.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depend on strategic relationships, and if we lose any of these strategic relationships or fail to establish additional relationships, or if our relationships fail to benefit us as expected, this could materially and adversely impact our business, financial condition, and operating results. For example, our solutions are integrated with many EHR and PM solutions offered by providers with whom we have a strategic relationship. Our ability to form and maintain these relationships in order to facilitate the integration of our platform into the EHR and PM systems used by our clients and their patients is important to the success of our business. If providers of EHR or PM solutions amend, terminate, or fail to perform their obligations under their agreements with us, we may need to seek other ways of integrating our platform with the EHR and PM systems of our clients, which could be costly and time consuming, and could adversely affect our business results.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have entered into contracts with channel partners to market and sell certain of our solutions, which are generally on a non-exclusive basis. However, under contracts with some channel partners, we may be bound by provisions that restrict our ability to market and sell solutions to potential clients. Our arrangements with some of these channel partners involve negotiated payments to them based on percentages of revenue our common clients generate. These arrangements subject us to federal and state healthcare laws and regulations. For more information regarding risks related to such laws and regulations, see Part I, Item 1A, “Risk Factors—Risks Related to Legal and Governmental Regulation—We conduct business in a heavily regulated industry.” Additionally, if the payments prove to be too high, we may be unable to realize acceptable margins, but if the payments prove to be too low, channel partners may not be motivated to work with us at the levels initially contemplated. The success of these partnerships will depend in part upon the channel partners’ own competitive, marketing, and strategic considerations, including the relative advantages of using alternative solutions being developed and marketed by them or by competitors. If channel partners are unsuccessful in marketing our solutions or seek to amend the terms of their contracts, we may need to broaden our marketing efforts and alter our strategy, which may divert planned efforts and resources from other projects and may increase our costs. In addition, as part of the packages these channel partners sell, they may offer a choice to end-users between our solutions and similar solutions offered by competitors or by the channel partners directly. If our solutions are not chosen or renewed by existing channel partner end-users, revenue we earn via our channel partner relationships will decrease. Significant changes in the terms of our agreements with channel partners may also have an adverse effect on our ability to successfully market our solutions.</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rely, in part, on the growth and success of our clients and overall healthcare transaction volumes, which are subject to factors outside of our control.</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enter into agreements with our clients, under which a significant portion of our fees may be variable, including fees which are dependent upon the number of add-on features that our clients choose to subscribe to and the utilization of our solutions. These fees, above contractual minimums, are generally not required to be paid in the absence of healthcare transactions. Therefore, if there is a general reduction in patient visits, it may result in a reduction in fees generated from our clients or a reduction in the number of add-on features subscribed for by our clients. Our revenue can also be adversely affected by the impact of lower than normal healthcare utilization trends and other negative economic factors such as higher unemployment. For example, weakened economic conditions or a recession could reduce the amounts patients are willing or able to spend on healthcare services. Further, the number of patients utilizing our patient payment solutions, and the amounts those patients pay directly to our clients for services, is often impacted by factors outside of our control, such as the number of patients with high deductible health plans. The growth and success of our clients could also be impacted by changes in governmental policies and regulations, such as reductions or changes in reimbursement under government programs that adversely affect our clients, or our cost of providing our solutions, recent or future federal government cost-cutting and efficiency measures, actual or potential reductions in the federal workforce that administers government programs, other substantial changes to federal healthcare programs or government spending that adversely affect our clients, and the creation of any future government single-payer system, which would have a significant adverse impact on our business.</w:t>
      </w:r>
    </w:p>
    <w:p>
      <w:pPr>
        <w:spacing w:after="0" w:line="19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these reasons, revenue under these agreements can be uncertain and unpredictable, and if the associated transaction volumes were reduced by a material amount, such decrease would lead to a decrease in our revenue, which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adversely impact our business, financial condition, and operating results.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solutions like ours will become more intense, and the importance of establishing and maintaining relationships with key industry participants will increase. These industry participants may try to use their market power to negotiate price reductions for our products and solutions. Further, consolidation of management and billing services through integrated delivery systems may decrease demand for our products. Such consolidation may also lead integrated delivery systems to require newly acquired physician practices to replace our product with that already in use in the larger enterprise. In addition, vertical integration whereby healthcare provider organizations acquire EHR, PM, revenue management cycle, or similar systems may make it more challenging to establish new relationships with such providers or may lead to such provider organizations replacing our solutions with those offered by systems that they acquire. Any of these factors could materially and adversely impact our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selling cycle of variable length to secure new client agreements.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face a selling cycle of variable length, which can span from weeks to 18 months or longer, to secure a new agreement with a client. We invest a substantial amount of time and resources on our sales efforts without any assurance that our efforts will produce sales. Even if we succeed at completing a sale, we may be unable to predict the size of the initial arrangement until very late in the sales cycle. We expend time and resources as part of our sales effort, and we may not recognize any revenue to offset such expenditures in the same period, particularly for longer sales cycles. We cannot accurately predict the timing of entering into agreements with new clients due to the complex procurement decision processes of many healthcare providers, which often involves high-level management or board committee approvals that can be delayed due to factors beyond our and their control. Due to our variable selling cycle length, we have only a limited ability to predict the timing of specific new client relationships, which affects our ability to predict future revenues and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implementation cycle that is dependent on our clients’ timing and resources.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face an implementation cycle that is dependent on our clients’ timing, which may pose scheduling challenges, and our clients’ resources, which may be constrained or significantly diverted to larger projects, each of which can impact timing of implementation of our solutions. Providers are faced with labor-intensive, manual tasks as well as disconnected systems and tools, compounded by broad workforce shortages and high staff turnover rates, which can further limit their resources and ability to implement our solutions. Implementation of our solutions may also require other technology implementation or process changes by the client. If implementation periods are delayed or extended, our ability to generate revenue from these solutions would also be delayed even though we have expended time and resources in the implementation of such solutions. Even if implementation has begun, there can be no assurance that we will recognize revenue on a timely basis or at all from our efforts, and any revenue may not be recognized during the same period in which we incur implementation expenses.</w:t>
      </w:r>
    </w:p>
    <w:p>
      <w:pPr>
        <w:spacing w:after="0" w:line="10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certain key employees and must continue to attract and retain highly skilled employees.</w:t>
      </w:r>
    </w:p>
    <w:p>
      <w:pPr>
        <w:spacing w:after="0" w:line="9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the skills, working relationships, and continued services of Matthew Hawkins (our Chief Executive Officer), the senior management team, and other key personnel. From time to time, there may be changes in our senior management team resulting from the hiring or departure of executives, which could disrupt our business. In addition, our hybrid work environment could make it difficult to manage our business and adequately oversee our employees and business functions, potentially resulting in harm to our company culture, increased employee attrition, and the loss of key personnel.</w:t>
      </w:r>
    </w:p>
    <w:p>
      <w:pPr>
        <w:spacing w:after="0" w:line="11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must attract, train, and retain a significant number of highly skilled employees, including sales and marketing personnel, client support personnel, professional services personnel, software engineers, technical personnel, and management personnel, and the availability of such personnel, in particular software engineers, may be constrained. We also believe that our future growth will depend on the continued development of our direct sales force and its ability to obtain new clients and to manage our existing client base. If we are unable to hire and develop sufficient numbers of productive direct sales personnel or if new direct sales personnel are unable to achieve desired productivity levels in a reasonable period of time, sales of our products and solutions will suffer and our growth will be impeded.</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Competition for qualified management and employees in our industry is intense and identifying and recruiting qualified personnel and training them requires significant time, expense, and attention. Many of the companies with which we compete for personnel have greater financial and other resources than we do. While we have entered into offer letters or employment agreements with certain of our executive officers, all of our employees are “at-will” employees, and their employment can be terminated by us or them at any time, for any reason, and without notice, subject, in certain cases, to severance payment rights. The departure and replacement of one or more of our executive officers or other key employees would likely involve significant time and costs, may significantly delay or prevent the achievement of our business objectives, and could materially harm our business. In addition, volatility or lack of performance in our stock price may affect our ability to attract replacements should key personnel depart.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estimates and assumptions we use to determine the size of our total addressable market may prove to be inaccurate.</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Market estimates and growth forecasts that we disclose are subject to significant uncertainty and are based on assumptions and estimates that may not prove to be accurate. The estimates and forecasts relating to the size and expected growth of the market for our products and solutions may prove to be inaccurate. These estimates and forecasts may be impacted by economic uncertainty that is outside our control, including macroeconomic trends such as domestic supply chain risks, inflationary pressure, interest rate increases, and declines in consumer confidence that impact our clients. While we believe the information on which we base our total addressable market and the underlying estimates and assumptions is generally reliable, such information is inherently imprecise. We cannot assure you that these assumptions will prove to be accurate.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Solutions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and market new solutions, or enhance our existing solutions, to respond to technological changes or evolving industry standards.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technological and regulatory change, evolving industry standards, and increasingly sophisticated client needs. For example, from time to time, government agencies may alter format and data code requirements applicable to electronic transactions. In addition, clients may request that solutions be customized to satisfy particular security protocols, modifications, and other contractual terms in excess of industry norms and standard configurations. In order to compete successfully, we must keep pace with our competitors in anticipating and responding to these rapid changes and evolving client demands. Our future success will depend, in part, upon our ability to enhance and improve the functionality of our existing solutions (including the successful continued deployment of the use of AI in our products and solutions) and develop and introduce in a timely manner or acquire new solutions that keep pace with technological and regulatory developments and industry requirements, satisfy increasingly sophisticated client requirements, and achieve market acceptance. Because some of our solutions are complex and require rigorous testing, development cycles can be lengthy, depending upon the solution and other factors. Our estimates of research and development expenses may be too low, our revenue may not be sufficient to support the future product development that is required for us to remain competitive, and development cycles may be longer than anticipated. Further, there is no assurance that research and development expenditures will lead to successful solutions or enhancements to our existing solutions. In addition, technological advances also may result in the downward pricing pressures, which could result in us losing sales unless we lower the prices we charge or provide additional efficiencies or capabilities to the client.</w:t>
      </w:r>
    </w:p>
    <w:p>
      <w:pPr>
        <w:spacing w:after="0" w:line="19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some of the software and systems that we use to provide solutions to clients are inherently complex, changing, updating, enhancing, or creating new versions of our solutions or the software or systems we use to provide our solutions introduces a risk of errors or performance problems. These updates and enhancements also require training and support to effectively implement, and our clients may have difficulties doing so. If significant problems occur as a result of these changes, we may fail to meet our contractual obligations to clients, which could result in claims being made against us or in the loss of client relationships.</w:t>
      </w:r>
    </w:p>
    <w:p>
      <w:pPr>
        <w:spacing w:after="0" w:line="183"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If we are unable, for technological or other reasons, to develop or acquire on a timely and cost-effective basis new software solutions or enhancements to existing solutions or if such new solutions or enhancements do not achieve market acceptance or are not properly implemented,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16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interoperability, connectivity, and integration of our solutions with our clients’ and their vendors’ networks and infrastructures.</w:t>
      </w:r>
    </w:p>
    <w:p>
      <w:pPr>
        <w:spacing w:after="0" w:line="15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Our solutions must interoperate, connect, and integrate with our clients’ and their vendors’ existing infrastructures, which often have different specifications, utilize multiple protocol standards, deploy products and solutions from multiple vendors, and contain multiple generations of products that have been added to that infrastructure over time. Some of the technologies supporting our clients and their vendors are constantly evolving and we must continue to adapt to these changes in a timely and effective manner at an acceptable cost. In addition, our clients and their vendors may implement new technologies into their existing networks and systems infrastructures that may not immediately interoperate with our solutions. Our continued success will depend on our ability to adapt to changing technologies, manage, and process ever- increasing amounts of data and information and improve the performance, features, and reliability of our solutions in response to changing client and industry demands. If we encounter complications related to network configurations or settings, we may have to modify our solutions to enable them to interoperate with our clients’ and their vendors’ networks and manage clients’ transactions in the manner intended. For example, if clients or their vendors implement new encryption protocols, it may be necessary for us to obtain a license to implement or interoperate with such protocols, and there can be no assurance that we will be able to obtain such a license on acceptable terms, if at all. On the other hand, any new or enhanced technologies that we employ must be accepted by our clients’ and their vendors’ existing infrastructures and be able to be integrated with their platforms and solutions. For example, we use automated software applications or “bot” technology and Application Interface (“API”) technology in a number of our solutions. Certain of our clients’ platforms may not support those technologies or functionalities for various reasons, which would adversely impact connectivity of our solutions. Any of these difficulties could delay or prevent the successful design, development, testing, introduction, or marketing of our solutions.</w:t>
      </w:r>
    </w:p>
    <w:p>
      <w:pPr>
        <w:spacing w:after="0" w:line="19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Further, because our solutions are interoperated and integrated, any disruption to our clients’ and their vendors’ networks and infrastructures, such as those of the EHR and PM vendors of our clients, could cause our solutions to become unavailable.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consequence of any of the foregoing, our ability to sell our solutions may be impaired, which could have a material adverse impact on our business, results of operations, or financial condition.</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internet, mobile, and other infrastructure, none of which are under our control.</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business and ability to provide our products and solutions is highly dependent upon the reliable performance of our platform and the underlying network and server infrastructure, including the performance and reliability of internet, mobile, and other infrastructures that are not under our control. This includes maintenance of a reliable network backbone with the necessary speed, data capacity, and security for providing reliable internet access and services and reliable mobile device, and telephone all at a predictable and reasonable cost. We have experienced and expect that we will experience interruptions and delays in services and availability from time to time.</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serve our clients primarily from third-party data-hosting facilities. These facilities are vulnerable to damage or interruption from earthquakes, floods, fires, power loss, telecommunications failures, and similar events. They are also subject to break-ins, sabotage, intentional acts of vandalism, and similar misconduct. Their systems and servers could also be subject to software and hardware errors, hacking, ransomware, viruses, and other disruptive problems or vulnerabilities. Despite precautions taken at these facilities, the occurrence of a natural disaster or an act of terrorism, a decision to close the facilities without adequate notice, or other unanticipated problems at the facilities could result in lengthy interruptions in our solutions. Although we have instituted disaster recovery arrangements, in certain cases, we do not maintain redundant systems or facilities. In the event of a catastrophic event, we may experience an extended period of system unavailability, which could negatively impact our relationship with users or clients.</w:t>
      </w:r>
    </w:p>
    <w:p>
      <w:pPr>
        <w:spacing w:after="0" w:line="1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disruption in network access or telecommunications could significantly harm our business. Almost all access to the internet is maintained through telecommunication operators who have significant market power that could take actions that degrade, disrupt, or increase the cost of users’ ability to access our platform. Disruptions in internet infrastructure, cloud-based hosting, or the failure of telecommunications network operators to provide us with the bandwidth we need to provide our products and solutions could temporarily disrupt or shut down our business. The insurance coverage under our policies may not be adequate to compensate us for all losses that may occur. In addition, we cannot provide assurance that we will continue to be able to obtain adequate insurance coverage at an acceptable cost.</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 the reliability and performance of the internet may be harmed by increased usage or by denial- of-service attacks. The internet has experienced a variety of outages and other delays as a result of damages to portions of its infrastructure, and it could face outages and delays in the future. These outages and delays could reduce the level of internet usage as well as the availability of the internet to us for delivery of our products and solutions. Finally, recent changes in law could impact the cost and availability of necessary internet infrastructure. Increased costs and/or decreased availability would negatively affect our results of operations.</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would be adversely affected if we cannot obtain, process, use, disclose, or distribute the highly regulated data we require to provide our solutions.</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business relies in part on our ability to obtain, process, monetize, use, disclose, and distribute highly regulated data in the healthcare and technology industries in a manner that complies with applicable laws, regulations, and contractual and technological restrictions. The failure by us or our data suppliers, processors, partners, and vendors to obtain, provide, maintain, use, and disclose data in a compliant manner could have a harmful effect on our ability to use and disclose data which in turn could impair our functions and operations, including our ability to share data with third parties or incorporate it into our product offerings. In addition, the processing, use, disclosure, and distribution of data may require us or our data suppliers, processors, partners, and vendors to obtain consent from third parties or follow additional laws, regulations, or contractual and technological restrictions that apply to the healthcare industry. These requirements could interfere with or prevent creation or use of rules and analyses or limit other data-driven activities that benefit us. Moreover, due to lack of valid notice, permission, authorization, consent, or waiver, we may be subject to claims or liability for use or disclosure of information. We have policies and procedures in place to address the proper handling, use, and disclosure of data, but could face claims that our practices occur in a manner not permitted under applicable laws or our agreements with or obligations to data providers, individuals, or other third parties. These claims or liabilities and other failures to comply with applicable requirements could damage our reputation, subject us to unexpected costs, and could have a material adverse impact on our business, results of operations, or financial condition. See Part I, Item 1A, “Risk Factors—Risks Related to Information Technology Systems, Cybersecurity, Data Privacy, and Intellectual Property—Privacy concerns or security breaches or incidents relating to our platform could result in economic loss, damage to our reputation, deter users from using our products, expose us to legal penalties and liability, and otherwise adversely affect our business” and Part I, Item 1A, “Risk Factors—Risks Related to Legal and Governmental Regulation—We are subject to health care laws and data privacy and security laws and regulations governing our Processing of personal information, including PHI, personal health records, and payment card data.”</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to the extent we are permitted to de-identify personal information, including PHI, and use and disclose such de-identified information for our purposes, we must determine whether such PHI has been sufficiently de-identified to comply with our contractual obligations and the privacy standards under HIPAA. Such determinations may require complex factual and statistical analyses and may be subject to interpretation. Accordingly, we may be subject to claims or liability for failure to sufficiently de-identify data to comply with the HIPAA privacy standards and our contractual obligations. These claims or liabilities could damage our reputation, subject us to unexpected costs and could have a material adverse impact on our business, results of operations, or financial condition. If we are unable to properly protect the privacy and security of PHI entrusted to us, we could be found to have breached our contracts with our clients and be subject to investigation by the OCR, or other governmental or regulatory authorities. In the event OCR or other governmental or regulatory authorities find that we have failed to comply with applicable privacy and security standards, we could face civil and criminal penalties. Additionally, in recent years, consumer advocates, media, and elected officials increasingly and publicly have criticized companies in data-focused industries regarding the Processing of personal information, including the licensing of de-identified information, by such companies. Concerns about our practices with regard to the Processing or security of PHI, personal information, the licensing of de-identified information, or other privacy related matters, even if unfounded, could damage our reputation and adversely affect our business, results of operations,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third-party vendors and providers.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entered contracts with third-party providers to provide critical services relating to our business, including clearinghouse systems and payment processing services. We primarily use clearinghouse systems for our claims and payer payment management solutions to facilitate data exchanges between providers and payors in connection with the reimbursement process, and use payment processing services in our patient financial care solutions to facilitate patient payments to their providers. We also rely on third-party data providers to enable us to deliver automated eligibility and benefits verification as part of our financial clearance solutions, as well as third parties who print and deliver paper statements to patients as part of our patient financial care solution. We also use various third-party vendors, such as software as a service and infrastructure as a service, cybersecurity solutions, and cloud based hosting of our proprietary solutions. We rely on hosted software as a service applications from third parties to operate critical functions of our business, including enterprise resource planning, order management, contract management billing, accounting, human resources, and other operational activities. We also rely third parties with respect to internet, mobile, and other infrastructure as described under “—The successful operation of our business depends upon the performance and reliability of internet, mobile, and other infrastructure, none of which are under our control” below.</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dependence on these third parties to support key functions of our business creates numerous risks, in particular, the risk that we may not maintain service quality, control, or effective management with respect to these operations, which, among other things, could result in our inability to meet certain obligations to our clients. For example, if our clearinghouse partners experience a disruption to their system, this could significantly adversely impact the availability and functionality of our claims management suite and, among other things, could cause us to be in breach of certain client contracts.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materially disrupt our operations and our ability to provide our products and solutions, divert management’s time and resources, and cause us to fail to meet required service levels stipulated in our client contracts.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reputation and our clients’ willingness to purchase our products and partners’ willingness to use our products depend, in part, on our third-party providers’ compliance with ethical employment practices, such as with respect to child labor, wages and benefits, forced labor, discrimination, safe and healthy working conditions, and with all legal and regulatory requirements relating to the conduct of their businesses. If our third-party providers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and additional costs that would harm our business, reputation, and results of operations. The ability of our third-party providers to effectively satisfy our business requirements could also be impacted by financial difficulty of our third-party providers or damage to their operations caused by fire, terrorist attack, natural disaster, or other events.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termination of our agreements with, or disruption in the performance of, one or more of these service providers could result in disruption or unavailability of our platform, and harm our ability to continue to develop, maintain, and improve our products, as well as harm our brand and reputation. While we have entered into agreements with these third-party service providers, they have no obligation to renew their agreements on similar terms or on terms that we find commercially reasonable, or at all. Identifying replacement third-party service providers, and negotiating agreements with them, requires significant time and resources. If any one of our material third-party service provider’s ability to perform their obligations was impaired, we may not be able to find an alternative supplier in a timely manner or on acceptable financial terms, and we may not be able to meet the full demands of our clients within the time periods expected,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errors or malfunctions in our products and solutions could result in liability to our clients.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products and solutions are used to help simplify the payment process for healthcare providers. If our products and solutions fail to provide accurate and timely information or are associated with errors or malfunctions, then our clients could assert claims against us that could result in substantial costs to us, harm our reputation in the industry, and cause demand for our products and solutions to decline. Although we attempt to limit by contract our liability for damages, the allocations of responsibility and limitations of liability set forth in our contracts may not be enforceable or may not otherwise sufficiently protect us from liability for damages. In certain circumstances, we may also be liable for the acts or omissions of others, such as our vendors or suppliers. 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See Part I, Item 1, “Business—Indemnification and Insurance.”</w:t>
      </w:r>
    </w:p>
    <w:p>
      <w:pPr>
        <w:spacing w:after="0" w:line="19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Moreover, our products and solutions may contain defects, errors, bugs, vulnerabilities, or failures that are not detected until after the software is introduced or updates and new versions are released. From time to time we have discovered defects, errors, bugs, vulnerabilities, or failures in our software, and such defects, errors, bugs, vulnerabilities, or failures can be expected to occur in the future. Defects, errors, bugs, vulnerabilities, or failures that are not timely detected and remedied could expose us to risk of liability to our clients and cause delays in introduction of new solutions, result in increased costs and diversion of development resources, require design modifications, decrease market acceptance or client satisfaction with our solutions, and harm our brand and reputation.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create rules within our products and solutions based on payers’ authorization policy documents, and which may be used for financial recovery by our clients. These policies and related legal requirements can be complex and are subject to frequent changes. If such rules are inaccurate or contain errors, or if we fail to timely update our rules to reflect any changes in policies or requirements, then we may be subject to liability. If any of these risks occur, they could materially adversely affect our business, financial condition, or results of operations.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our clients to obtain proper permissions or provide us with accurate and appropriate information may result in claims against us or may limit or prevent our use of information.</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the extent we are not otherwise permitted to use and/or disclose client information, we require our clients to provide necessary notices and obtain necessary permissions, consents, and authorizations for the use and disclosure of the information that we receive from our solutions. We then provide patient information to third parties, pursuant to patient permissions, consents, and authorizations that permit the third parties to collect such information, and such patient information may be aggregated or combined with other data sources to gain additional insights from such patient information. Such patient information may also be anonymized/de-identified and sold to or collected by a data aggregator.</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our clients do not provide necessary notices or obtain necessary permissions, consents, or authorizations, then our use and disclosure of information that we receive from them or on their behalf may be limited or prohibited by federal or state privacy or other laws. Such failures by our clients could impair our functions, processes, and databases that reflect, contain, or are based upon such information. In addition, such failures by our clients could interfere with or prevent creation or use of rules, analyses, or other data-driven activities that benefit us or make our solutions less useful. Accordingly, we may be subject to claims or liability for inaccurate claims data submitted to payers, inaccurate or incomplete billing and coding claims or for use or disclosure of information by reason of lack of valid notice, permission, consent, or authorization. These claims or liabilities could damage our reputation, subject us to unexpected costs, and could have a material adverse impact on our business, results of operations, or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solutions present the potential for embezzlement, identity theft, or other similar illegal behavior by our employees or vendors and a failure of our employees or vendors to observe quality standards or adhere to environmental, social, and governance standards could damage our reputation.</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a payments facilitator, we handle payments from payers and from patients for many of our provider clients and are in possession of payment card information and banking account information. Even when we do not facilitate payments, our solutions also involve the use and disclosure of personal and business information that could be used to impersonate third parties or otherwise gain access to their data or funds. If any of our employees or vendors or other bad actors does not comply with the law or engages in unethical conduct, such as taking, converting, or misusing funds, documents, or information, or if we experience a data breach creating a risk of identity theft, we could be liable for damages, and our reputation could be damaged or destroyed.</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could be perceived to have facilitated or participated in illegal misappropriation of funds, documents, or data and, therefore, be subject to civil or criminal liability. Federal and state regulators may take the position that a data breach or misdirection of data constitutes an unfair or deceptive act or trade practice. We also may be required to notify individuals affected by any data breaches. Further, a data breach or similar incident could impact the ability of our clients that are creditors to comply with the federal “red flags” rules, which require the implementation of identity theft prevention programs to detect, prevent, and mitigate identity theft in connection with client accounts. Any such data breach could have an adverse impact on our business, results of operations, and reputation.</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the applicable rules of the National Automated Clearing House Association (“NACHA”), and we, our clients, and our sales partners must comply with the applicable requirements of card networks.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provide payments solutions for the secure processing of patient payments. Our payment processing tools can connect to multiple financial services providers and acquiring banks and can also connect directly with patients. We have developed partnerships with ACH operators and primary credit card processors to facilitate payment processing as a third-party sender for patient payments as well as funds disbursements to healthcare providers, and we are registered with numerous card networks as a service provider (payment facilitator or the equivalent) for acquiring banks. The NACHA and these card networks set the operating rules and standards with which we must comply. The termination of our status as a third-party sender or a decision by NACHA to bar us from serving as such, the termination of our status as a certified service provider or a decision by the card networks to disallow payment facilitators or bar us from serving as such, or any changes in NACHA or card network rules or standards, including interpretation and implementation of the operating rules or standards, that increase the cost of doing business or limit our ability to provide payment processing solutions to our clients, could adversely affect our business, financial condition, or results of operations.</w:t>
      </w:r>
    </w:p>
    <w:p>
      <w:pPr>
        <w:spacing w:after="0" w:line="1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we and our clients are subject to card network rules that could subject us or our clients to a variety of fines or penalties that may be levied by card networks for certain acts or omissions by us or our clients. If a client or sales partner fails to comply with the applicable requirements of card networks, we could be subject to a variety of fines or penalties that may be levied by card networks. We may have to bear the cost of such fines or penalties if we cannot collect them from the applicable client or sales partner, resulting in lower earnings or losses for us. Our violation of the network rules may result in the termination or suspension of our registration with the affected network. The termination of our registration, including a card network barring us from acting as a payment facilitator, or any changes in card network rules that would impair our registration, could require us to stop providing payment solutions relating to the affected card network, which would adversely affect our ability to conduct our business.</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the rules of card networks are set by their boards, which may be influenced by card issuers. Many banks directly or indirectly sell payment processing services to clients in competition with us. These banks could attempt, by virtue of their influence on the networks, to alter the networks’ rules or policies to the detriment of non-members, including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increases in card network fees and other changes to fee arrangements.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card networks, including Visa, MasterCard, American Express, and Discover, increase the fees that they charge, which are indirectly passed down to payment facilitators like us. Although we may attempt to pass these increases along to our clients, this may result in the loss of clients to our competitors that do not pass along the increases. If competitive practices prevent us from passing along the higher fees to our clients in the future, we may have to absorb all or a portion of such increases, which may increase our operating costs and adversely impact our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 any future regulations on processing rates being capped when applied to transaction refunds could have a negative impact on our business. A provision of the Dodd-Frank Wall Street Reform and Consumer Protection Act (the “Dodd-Frank Act”) known as the Durbin Amendment empowered the Federal Reserve Board to establish and regulate a cap on the interchange fees that merchants pay banks for electronic clearing of debit card transactions. The final rule implementing the Durbin Amendment established standards for assessing whether debit card interchange fees received by debit card issuers were reasonable and proportional to the costs incurred by issuers for electronic debit transactions, and it established a maximum permissible interchange fee that an issuer may receive for an electronic debit transaction, limiting the fee revenue to debit card issuers and payment processors. To the extent that HSA-linked payment cards and other exempt payment cards used on our platform (or their issuing banks) lose their exempt status under the current rules or if the current interchange rate caps applicable to other payment cards used on our platform are increased, any such amendment, rule-making, or legislation could increase the interchange fees applicable to payment card transactions processed through our platform. As a result, this could decrease our revenue and profit and could have a material adverse effect on our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effect of payer and provider conduct which we cannot control.</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offer certain electronic claims submission products as part of our platform. While we have implemented certain product features designed to maximize the accuracy and completeness of claims submissions, these features may not be sufficient to prevent inaccurate claims data from being submitted to payers. Should inaccurate claims data be submitted to payers due to errors and omissions by Waystar, we may be subject to liability claims. Electronic data transmission services are offered by certain payers to healthcare providers that establish a direct link between the provider and payer. This process could reduce revenue to vendors such as us. A significant increase in the utilization of direct links between providers and payers would reduce the number of transactions that we process and for which we are paid, resulting in a decrease in revenue and an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Cybersecurity, Data Privacy, and Intellectual Property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vendors are subject to attacks of such information technology systems, including cyber-attacks, security breaches, or other incidents impacting the information Processed through our platform.</w:t>
      </w:r>
    </w:p>
    <w:p>
      <w:pPr>
        <w:spacing w:after="0" w:line="15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We collect, create, receive, maintain, process, use, transmit, disclose, transfer, alter, and store (collectively, “Process”) significant amounts of personal information of patients received in connection with the utilization of our platform and otherwise in connection with the operation of our business, and other sensitive, confidential, and proprietary information such as payment data and PHI. Attacks on information technology systems are increasing in their frequency, levels of persistence, sophistication, and intensity, and they are being conducted by increasingly sophisticated and organized groups and individuals, including state- sponsored organizations, with a wide range of motives and expertise. In addition to extracting personal information and other sensitive or confidential information, such attacks could include the deployment of harmful malware, ransomware, denial-of-service attacks, social engineering, and other means to affect service reliability and threaten the confidentiality, integrity, security, and availability of our information or information technology systems. The prevalent use of mobile devices also increases the risk of data security incidents. Further, like all internet-based solutions, our solutions are vulnerable to software bugs, computer viruses, malware, internet worms, break-ins, phishing attacks, attempts to overload servers with denial-of- service, or other attacks or similar disruptions from unauthorized use of our and third-party computer systems, any of which could lead to system interruptions, delays, or shutdowns, causing loss of critical data, or the unauthorized acquisition of or access to data. While we believe we have taken reasonable steps to protect such data, techniques used to gain unauthorized access to or acquisitions of data and systems, disable or degrade service, or sabotage systems, are constantly evolving, and we may be unable to anticipate such techniques or implement adequate preventative measures to avoid unauthorized access, acquisitions of, or other adverse impacts to such data or our systems. The risk of state-supported and geopolitical-related cyber-attacks may increase in connection with the war in Ukraine and any related political or economic responses and counter-responses. In addition, competitors in our industry have suffered successful cyberattacks in the past, which may lead to us facing additional scrutiny, and we may face similar attacks ourselves. We may not discover all such incidents or activity or be able to respond or otherwise address them promptly, in sufficient respects or at all. Any specific interruption or attack, any failure to maintain performance, reliability, security, and availability of our products, or failure to prevent software bugs and other corruptants such as those listed above, to the satisfaction of our clients or their patients, may harm our reputation and our ability to retain existing clients, negatively affect our clients and their patients, and adversely impact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some of our third-party service providers and vendors also Process our personal information and other sensitive information such as our clients’ data on our behalf. These service providers and vendors are subject to similar threats of cyber-attacks, security incidents, and other malicious internet-based activities, which could also expose us to risk of loss, litigation, potential liability, and/or other costs. We may have limited insight into the data privacy or security practices of third-party vendors and providers, including as it relates to our AI algorithms. We have also acquired and may continue to acquire companies that are vulnerable to cyber-attacks and security incidents and breaches, and we may be responsible for any such attacks, incidents, and breaches of these newly acquired companies.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 the security systems in place at our employees’, vendors’, and service providers’ offices and homes may be less secure than those used in our offices, and while we have implemented technical, physical, and administrative safeguards to help protect our systems when our employees, vendors, and service providers work from their offices, homes, and other remote locations, we may be subject to increased cybersecurity risk, which could expose us to risks of data or financial loss, and could disrupt our business operations. There is no guarantee that the data security and privacy safeguards we have put in place will ultimately be effective or that we will not encounter risks associated with employees, vendors, and service providers accessing company data and systems remotely. If an actual or perceived breach of security occurs to our systems or a third-party’s systems, we could be required to expend significant resources to mitigate the breach of security, pay any applicable fines, and address matters related to any such breach, including notifying impacted individuals, the media, or regulators, making public disclosures, and addressing reputational harm.</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Any theft, loss, or misappropriation of, or access to, clients’, or other proprietary data, or other breach of our third-party service providers’ or vendors’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clients, individuals, and others, any of which could have a material adverse effect on our business, financial condition, and results of operations.</w:t>
      </w:r>
    </w:p>
    <w:p>
      <w:pPr>
        <w:spacing w:after="0" w:line="18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costs of mitigating data security risks are significant and are likely to increase in the future. Although we carry cybersecurity insurance, we cannot ensure our limits are sufficient to cover us against all potential losses for damages or fines in an amount exceeding our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privacy, data protection, and cybersecurity.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are numerous U.S. federal, state, local, and international laws and regulations regarding privacy, data protection, and cybersecurity that govern the Processing of personal information and other information. The scope of these laws and regulations is expanding and evolving, subject to differing interpretations, may be inconsistent among jurisdictions, or conflict with other rules. We are also subject to the terms of our privacy policies and obligations to third parties related to privacy, data protection, and cybersecurity.</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For example, CCPA took effect on January 1, 2020, which broadly defines personal information, gives California residents expanded privacy rights and protections, and provides for civil penalties for certain violations. Furthermore, in November 2020, California voters passed the CPRA, which amended and expanded the CCPA with additional data privacy compliance requirements and established a regulatory agency dedicated to enforcing those requirements. Many other states, such as Colorado, Connecticut, Delaware, Indiana, Iowa, Kentucky, Maryland, Minnesota, Montana, Nebraska, New Hampshire, New Jersey, Oregon, Rhode Island, Tennessee, Texas, Utah, and Virginia have since also passed comprehensive state privacy laws that may impose additional obligations and requirements on our business. Additionally, we may be subject to new laws governing the privacy of certain specific types of data, including, most notably,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varying jurisdictional requirements could increase the costs and complexity of our compliance efforts and violations of applicable data privacy laws can result in significant penalties. Any failure, or perceived failure, by us to comply with applicable data protection or other laws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Many of these new laws, if applicable, may require us to allow individuals to opt-out of the use of their personal information for targeted advertising, which may impact our marketing strategy. Additionally, businesses are legally required to notify affected individuals, governmental entities, and/or credit reporting agencies of certain security incidents affecting personal information. Such laws are not all consistent, and compliance in the event of a widespread security incident is complex and costly and may be difficult to implement. We may also be contractually required to indemnify and hold harmless clients from the costs or consequences of non-compliance with any laws, regulations, or other legal obligations relating to data privacy or health care laws or any inadvertent or unauthorized Processing of personal information or PHI that we store or handle as part of operating our business.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See Part I, Item 1A, “Risk Factors—Risks Related to Legal and Governmental Regulation—We are subject to health care laws and data privacy and security laws and regulations governing our Processing of personal information, including PHI, personal health records, and payment card data” below for further discussion.</w:t>
      </w:r>
    </w:p>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rights are not adequately protected and enforced, we may not be able to build name recognition or protect our technology and products.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business depends on proprietary technology and content, including software, databases, confidential information and know-how, the protection of which is crucial to the success of our business. We rely on a combination of trademark, trade-secret, copyright, and other intellectual property laws, confidentiality procedures, and contractual provisions to protect our intellectual property rights in our proprietary technology, content, and brand. We may, over time, increase our investment in protecting our intellectual property through additional trademark, patent, and other intellectual property filings that could be expensive and time- consuming. Effective trademark, trade-secret, and copyright protection is expensive to develop and maintain, both in terms of initial and ongoing registration requirements and the costs of asserting our rights against third parties. Further, these measures may not be sufficient to offer us meaningful protection. If we are unable to protect our intellectual property and assert our rights in such intellectual property against third parties, our brand, competitive position, and business could be harmed, as third parties may be able to dilute our brand or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provide us with competitive advantages, which could result in costly redesign efforts, discontinuance of certain products and solutions, or other competitive harm.</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seek to analyze our competitors’ products and solutions, and may in the future seek to enforce our rights against potential infringement. However, the steps we have taken to protect our proprietary rights may not be adequate to prevent infringement or misappropriation of our intellectual property. We may not be able to detect unauthorized use of, or take appropriate steps to enforce, our intellectual property rights. Any inability to meaningfully protect or enforce our intellectual property rights could result in harm to our brand or our ability to compete and reduce demand for our technology and products. Moreover, our failure to develop and properly manage new intellectual property could adversely affect our market positions and business opportunities. Also, some of our products and solutions rely on technologies and software developed by or licensed from third parties. Any disruption or disturbance in such third-party products or services, which we have experienced in the past and may experience again in the future, could interrupt the operation of our platform, and could cause us to be in breach of contracts with our clients. We may not be able to maintain our relationships with such third parties or enter into similar relationships in the future on reasonable terms or at all.</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use or license data and integrate third-party technologies.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upon licenses from third parties for some of the technology and data used in our products and solutions, and for some of the technology platforms upon which these products and solutions are built and operate. We expect that we may need to obtain additional licenses from third parties in the future in connection with the development of our products and solutions. In addition, we obtain a portion of the data that we use from government entities and public records for specific client engagements. We believe that we have all rights necessary to use the data that is incorporated into, or used to develop and improve, our products and solutions. However, we cannot assure you that our licenses for information will allow us to use that information for all potential or contemplated products and solutions. In addition, our ability to use data to support and improve existing products and solutions and to develop new products and solutions is largely dependent upon the contractual rights we secure. For example, certain of our products depend on maintaining our data and analytics platform, which is populated with data disclosed to us by healthcare providers and payers with their consent. If these providers and/or payers revoke their consent for us to maintain, use, de-identify, and share this data, consistent with applicable law, our data assets could be degraded.</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in or for development and maintenance of our products and solutions.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offerings, our ability to provide products and solutions to our partners would be materially adversely impacted, which could have a material adverse effect on our business, financial condition, and results of operations.</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integrate into our proprietary products and solutions and use third-party software to maintain and enhance, among other things, content generation and delivery, and to support our technology infrastructure.</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Some of this software is proprietary and some is open source software. Our use of third-party technologies and open source software exposes us to increased risks, including, but not limited to, risks associated with the integration of new technology into our platform, the diversion of our resources from development of our own proprietary technology and our inability to generate revenue from licensed technology sufficient to offset associated acquisition and maintenance costs. These technologies may not be available to us in the future on commercially reasonable terms or at all and could be difficult to replace once integrated into our own proprietary products and solutions. Most of these licenses can be renewed only by mutual consent and may be terminated if we breach the terms of the license and fail to cure the breach within a specified period of time. Our inability to obtain, maintain, or comply with any of these licenses could delay development until equivalent technology can be identified, licensed, and integrated, which would harm our business, financial condition, and results of operations.</w:t>
      </w:r>
    </w:p>
    <w:p>
      <w:pPr>
        <w:spacing w:after="0" w:line="18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Most of our third-party licenses are non-exclusive and our competitors may obtain the right to use any of the technology covered by these licenses to compete directly with us. If our data suppliers choose to discontinue support of the licensed technology in the future, we might not be able to modify or adapt our own solutions.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products and solutions and subject us to possible litigation.</w:t>
      </w:r>
    </w:p>
    <w:p>
      <w:pPr>
        <w:spacing w:after="0" w:line="15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We have in the past incorporated and may in the future incorporate certain open source software into our products and solutions. Open source software is licensed by its authors or owners under open source licenses, which in some instances may subject us to certain unfavorable conditions, including requirements that we offer our products and solutions that incorporate such open source software for no cost, that we make publicly available the source code for any modifications or derivative works we create based upon, incorporating or using the open source software, or that we license such modifications or derivative works under the terms of the particular open source license. In addition, the use of third-party open source software could expose us to greater risks than the use of third-party commercial software to the extent open-source licensors do not provide warranties or controls on the functionality or origin of the software equivalent to those provided by third-party commercial software providers. Further, the public availability of open source software may make it easier for attackers to target and compromise our platform through cyber-attacks. Open sourcing such software requires us to make the source code publicly available, and therefore can limit our ability to protect our intellectual property rights with respect to that software. From time to time, companies that use open source software have faced claims challenging the use of open source software or compliance with open source license terms. Furthermore, there is an increasing number of open source software license types, many of which have not been tested in a court of law. We could be subject to suits by parties claiming copyright infringement or noncompliance with open source licensing terms. While we monitor the use of open source software and try to ensure that none is used in a manner that would require us to disclose our proprietary source code or that would otherwise breach the terms of an open source license, such use could inadvertently occur, in part because open source license terms are often ambiguous. Any requirement to disclose our proprietary source code or pay damages for breach of contract could have a material adverse effect on our business, financial condition, and results of operations and could help our competitors develop products and solutions that are similar to or better than ours.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violating their intellectual property rights.</w:t>
      </w:r>
    </w:p>
    <w:p>
      <w:pPr>
        <w:spacing w:after="0" w:line="229"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color w:val="auto"/>
        </w:rPr>
        <w:t>Our commercial success depends on our ability to develop and commercialize our products and solutions and use our proprietary technology without infringing the intellectual property or proprietary rights of third parties. However, from time to time, we may be subject to legal proceedings and claims in the ordinary course of business with respect to intellectual property. Intellectual property disputes can be costly to defend and may cause our business, operating results, and financial condition to suffer. As the market for healthcare technology solutions in the United States expands and more patents are issued, the risk increases that there may be patents issued to third parties that relate to our products and technology of which we are not aware or that we must challenge to continue our operations as currently contemplated. Whether merited or not, we may face allegations that we, our licensees, or parties indemnified by us have infringed or otherwise violated the patents, trademarks, copyrights, or other intellectual property rights of third parties. Such claims may be made by competitors seeking to obtain a competitive advantage or by other parties. Additionally, so-called non-practicing entities collect patents and make claims of infringement in an attempt to extract settlements from companies like ours. We have faced such claims, although we do not believe they are material, and may attract such claims in the future. We may also face allegations that our employees have misappropriated the intellectual property or proprietary rights of their former employers or other third parties.</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It may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solutions and technology while we develop non-infringing substitutes, or incur substantial damages, settlement costs, or face a temporary or permanent injunction prohibiting us from marketing or providing the affected products and solutions. If we require a third-party license, it may not be available on reasonable terms or at all, and we may have to pay substantial royalties, upfront fees, or grant cross-licenses to intellectual property rights for our products and solutions. We may also have to redesign our products or solutions so they do not infringe third-party intellectual property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 some third parties may be able to sustain the costs of complex litigation more effectively than we can because they have substantially greater resources. And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have a material adverse effect on our business, financial condition, and results of operations.</w:t>
      </w:r>
    </w:p>
    <w:p>
      <w:pPr>
        <w:spacing w:after="0" w:line="18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receive confidential and proprietary information from third parties in connection with the operation of our business. In addition, we may employ individuals who were previously employed at other technology companies, including our competitors. We may be subject to claims that us or our employees, consultants, or independent contractors have inadvertently or otherwise improperly used or disclosed confidential information of these third parties or our employees’ or contractors’ former employers. Further, we may be subject to ownership disputes in the future arising, for example, from conflicting obligations of employees, consultants, or others who are involved in developing our solutions. We may also be subject to claims that former employees, consultants, independent contractors or other third parties have an ownership interest in our patents or other intellectual property. Litigation may be necessary to defend against these and other claims challenging our right to and use of confidential and proprietary information. In addition to paying monetary damages, if we fail in defending against any such claims we may lose our rights therein, which could have a material adverse effect on our business. Even if we are successful in defending against these claims, litigation could result in substantial cost and be a distraction to our management and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Governmental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current and future arrangements with our channel partners, healthcare professionals, consultants, clients, and third-party payors subject us to various federal and state fraud and abuse laws and other healthcare laws, including, without limitation, the AKS and state kickback laws, the federal civil and criminal false claims laws, civil monetary penalties laws, the Stark Law, HIPAA, and the regulations promulgated under such laws. These laws impact, among other things, proposed sales, marketing, and educational programs, and other interactions with healthcare professionals and provider clients. For more information regarding the risks related to these laws and regulations please see Part I, Item 1, “Business—Regulation—Healthcare fraud and abuse provisions.”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These laws are complex, may change rapidly, and the scope and enforcement and application of each of these laws to our specific services and relationships may not be clear and may be applied to our business in ways we do not anticipate. Federal and state regulatory and law enforcement authorities continue to focus on enforcement activities with respect to Medicare, Medicaid, other government and third-party payor programs, and other healthcare reimbursement laws and rules in an effort to reduce overall healthcare spending. Federal and state enforcement bodies have recently increased their scrutiny of interactions between healthcare companies and healthcare providers, which has led to a number of investigations, prosecutions, convictions, and settlements in the healthcare industry. Because of the breadth of these laws and the narrowness of their statutory or regulatory exceptions and safe harbors, some of our business activities may be subject to challenge under one or more of them. Recent federal government cost-cutting, efficiency, and fraud and abuse initiatives may also result in reductions in healthcare reimbursement, healthcare spending, and the federal workforce that oversees healthcare programs, which may have a significant adverse impact on our business. In addition, new and evolving payment structures, for example, such as accountable care organizations and other arrangements involving combinations of healthcare providers who share savings, potentially implicate anti-kickback and other fraud and abuse laws. The government has prosecuted revenue cycle management service providers for causing the submission of false or fraudulent claims in violation of the FCA, and vendors of EHR software for, among other things, misrepresenting the capabilities of their software and payment of kickbacks to certain customers in exchange for promoting their products in violation of the AKS and the FCA. Errors created by our platform and our proprietary products and solutions that relate to entry, formatting, preparation, or transmission of claims, reporting of quality or other data pursuant to value-based purchasing initiatives, or cost report information may be alleged or determined to cause the submission of false claims or otherwise be in violation of these laws. As we continue to build new and evolving technologies, such as AI, machine learning, analytics, and biometrics, into our products and solutions, our business may become subject to additional complex and evolving regulatory requirements pertaining to the sale or use of these technologies.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sale of these technologies, or their use by us or by our clients or partners, may also subject us to additional risks, including reputational harm, competitive harm, or legal liabilities.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Achieving and sustaining compliance requires us to implement controls across our entire organization which may prove costly and challenging to monitor and enforce. The risk of our being found in violation of healthcare laws and regulations is increased by the fact that their provisions are sometimes open to a variety of interpretations. We cannot assure you that our arrangements and activities will be deemed outside the scope of these laws or that increased enforcement activities will not directly or indirectly have a material adverse effect on our business, financial condition, or results of operations.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disqualification from providing services to healthcare providers doing business with government programs, individual imprisonment, reputational harm, and the curtailment or restructuring of our operations, requirements to change or terminate some portions of our operations or business, as well as additional reporting obligations and oversight if we become subject to a corporate integrity agreement or other agreement to resolve allegations of non-compliance with these laws. If we are determined to have violated any of these laws, we may be required to give our clients the right to terminate our services agreements with them and/or required to refund portions of our base fee revenues and incentive payment revenues, any of which could have a material adverse effect on our business and results of operations. Likewise,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as well. Any violations by, and resulting penalties or exclusions imposed upon, our clients could adversely affect their financial condition and, in turn, have a material adverse effect on our business and results of operations. Even absent an alleged violation of law by us, participants in the healthcare industry receive inquiries or subpoenas to produce documents and provide testimony in connection with government investigations. We could be required to expend significant time and resources to comply with these requests, and the attention of our management team could be diverted by these efforts.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Almost all of our revenue is derived from the healthcare industry, which is subject to changing political, legislative, regulatory, and other influences. Healthcare laws and regulations are rapidly evolving and may change significantly in the future, which could adversely affect our financial condition and results of operations. For example, in March 2010, the Patient Protection and Affordable Care Act (the “ACA”) was adopted, which is a healthcare reform measure that provides healthcare insurance for millions of Americans. The ACA includes a variety of healthcare reform provisions and requirements that substantially changed the way healthcare is financed by both governmental and private insurers, which significantly impact our industry and our business. We are unable to predict the full impact of any health reform initiatives or legislative updates to current healthcare laws on our operations in light of the uncertainty regarding whether, when, and how alternative reforms, if any, may be enacted, the timing of enactment and implementation of alternative provisions and the impact of alternative provisions on various healthcare industry participants.</w:t>
      </w:r>
    </w:p>
    <w:p>
      <w:pPr>
        <w:spacing w:after="0" w:line="188" w:lineRule="exact"/>
        <w:rPr>
          <w:sz w:val="20"/>
          <w:szCs w:val="20"/>
          <w:color w:val="auto"/>
        </w:rPr>
      </w:pPr>
    </w:p>
    <w:p>
      <w:pPr>
        <w:ind w:right="380" w:firstLine="648"/>
        <w:spacing w:after="0" w:line="254" w:lineRule="auto"/>
        <w:rPr>
          <w:sz w:val="20"/>
          <w:szCs w:val="20"/>
          <w:color w:val="auto"/>
        </w:rPr>
      </w:pPr>
      <w:r>
        <w:rPr>
          <w:rFonts w:ascii="Times New Roman" w:cs="Times New Roman" w:eastAsia="Times New Roman" w:hAnsi="Times New Roman"/>
          <w:sz w:val="18"/>
          <w:szCs w:val="18"/>
          <w:color w:val="auto"/>
        </w:rPr>
        <w:t>We are also unable to predict how recent regulatory reforms regarding information blocking, algorithm transparency, interoperability, and health data will impact our business and whether the new presidential administration will continue to enforce or implement past reforms. For example, President Trump’s Administration revoked President Biden’s executive order on AI and it is unclear how the new Administration will implement final rules on Health Data, Technology and Interoperability (HTI-1, HTI-2, and HTI-3) that took effect in 2024. Future legislative, executive, and regulatory proposals may constitute a significant departure from previous regulations regarding patient data. While certain of these rules benefit us in that certain EHR vendors will no longer be permitted to interfere with our attempts at integration, they may also make it easier for other similar companies to enter the market, creating increased competition and reducing our market share.</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subject to various other laws and regulations, including, among others, anti- kickback laws, antitrust laws, and the privacy and data protection laws described below. See Part I, Item 1, “Business— Regulation—Healthcare fraud and abuse provisions.”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 care laws and data privacy and security laws and regulations governing our Processing of personal information, including PHI, personal health records, and payment card data.</w:t>
      </w:r>
    </w:p>
    <w:p>
      <w:pPr>
        <w:spacing w:after="0" w:line="15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Numerous complex federal and state laws and regulations govern the Processing of personal information, including PHI, personal health records, and payment card data. State laws may be even more restrictive and not preempted by HIPAA and may be subject to varying interpretations by the courts and government agencies.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these risks could adversely affect our business in the short and long term. See Part I, Item 1, “Business— Regulation—Federal and state health information privacy and security laws.”</w:t>
      </w:r>
    </w:p>
    <w:p>
      <w:pPr>
        <w:spacing w:after="0" w:line="17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We are a “covered entity” as defined under HIPAA when we provide our clearinghouse services, and we also are a “business associate” as defined under HIPAA for other covered entities when we provide revenue cycle management and other solutions. HHS OCR may impose civil penalties on both covered entities and business associates for their failure to comply with HIPAA requirements. These requirements are subject to change. In December 2024, HHS OCR issued a notice of proposed rulemaking on the HIPAA Security Rule, which is specifically aimed at strengthening cybersecurity of electronic PHI, and we are monitoring this proposed rulemaking. The U.S. Department of Justice is responsible for criminal prosecutions under HIPAA. Penalties can vary significantly depending on a number of factors, such as whether the covered entity’s or business associate’s failure to comply was due to willful neglect. Violations of HIPAA could result in criminal penalties up to $250,000 and ten years in prison and civil penalties of up to $68,928 for each violation, with a cap of $2,067,813 for violations of the same standard per calendar year, administrative fines and penalties, and/or additional reporting and oversight obligations if we are required to enter into a resolution agreement and corrective action plan. A single breach incident can result in violations of multiple standards over many years, resulting in potential penalties in excess of $2,067,813 per year. For example, HIPAA violations at one covered entity resulted in total penalties of $16 million in 2018. HIPAA also authorizes state attorneys general to file suit on behalf of the residents of their states. While HIPAA does not create a private right of action that would allow individuals to sue in civil court for HIPAA violations, its standards have been used as the basis for the duty of care in state civil suits, such as those for recklessness in misusing individuals’ health information. If we are subject to investigation or litigation related to an alleged violation of HIPAA, then we may elect to resolve the matter through additional reporting and oversight obligations through a resolution agreement and corrective action plan with HHS to settle allegations of HIPAA non-compliance. Such settlement could require payment of a civil penalty or damages, corrective action, and/or monitoring of our business by a third party.</w:t>
      </w:r>
    </w:p>
    <w:p>
      <w:pPr>
        <w:spacing w:after="0" w:line="3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security measures that we and our third-party vendors and subcontractors have in place to ensure compliance with privacy and data protection laws may not protect our facilities and systems from security breaches or incidents, acts of vandalism or theft, computer viruses, misplaced or lost data, malfeasance, programming, and human errors or other similar events. We may also be liable for privacy and security breaches and failures of our business associates and subcontractors. Even though we provide for appropriate protections through our agreements with our subcontractors, we still have limited control over their actions and practices. A breach of privacy or security of individually identifiable health information by a subcontractor may result in an enforcement action, including criminal and civil liability, against us. We are not able to predict the extent of the impact such incidents may have on our business. Our failure to comply with HIPAA and other health privacy laws may also result in criminal and civil liability. Enforcement actions against us could be costly and could interrupt regular operations, which may adversely affect our business. While we have not received any notices of violation of the applicable privacy and data protection laws and believe we are in compliance with such laws, there can be no assurance that we will not receive such notices in the future.</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AI platform and the data it uses may also subject us to additional risks. We use de-identified claims data to train our revenue cycle management AI. In order to de-identify PHI for our AI, we must have explicit rights and permissions to do so from our clients. If we do not de-identify PHI in accordance with HIPAA’s safe harbor method or if we do not have rights or permissions to de-identify PHI, but de-identify PHI for such purposes, a regulator or client may consider such actions to be a breach of HIPAA’s requirements or of contractual requirements, and we may be subject to criminal and civil liability or other actions and our clients may not renew or terminate their contracts with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Many states are also enacting legislation on the use, creation, and deployment of AI. For example, in March 2024, Utah enacted the Artificial Intelligence Policy Act, which requires disclosures to consumers about the use of AI in certain circumstances, including advance AI use disclosures by physicians and individuals in other regulated occupations. In Connecticut, proposed legislation would regulate the development, deployment, and use of certain AI systems. The Connecticut bill would address algorithmic discrimination, decisions with respect to healthcare services, and studies on the use of AI by healthcare providers. Developers of generative AI systems would be required to complete impact assessments and disclose measures the developer has taken to mitigate any known or reasonably foreseeable risks of algorithmic discrimination that may arise from deployment of certain “high-risk” AI systems that are developed and marketed to make consequential decisions, such as decisions that have a material legal or similarly significant effect on consumer access to certain services, including healthcare and financial services. Other states have introduced similar bills.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 For information that is not subject to HIPAA and deemed to be “personal health records,” the FTC may also impose penalties for violations of the Health Breach Notification Rule (“HBNR”) to the extent we are considered a “personal health record- related entity” or “third party service provider.” The FTC has taken several enforcement actions under HBNR this year and indicated that the FTC will continue to protect consumer privacy through greater use of the agency’s enforcement authorities. As a result, we expect even greater scrutiny by federal and state regulators, partners, and consumers of our Processing of health information, particularly with our AI-enabled solutions. Additionally, federal and state consumer protection laws are increasingly being applied by the FTC and states’ attorneys general to regulate the Processing of personal information, through websites or otherwise, and to regulate the presentation of website content.</w:t>
      </w:r>
    </w:p>
    <w:p>
      <w:pPr>
        <w:spacing w:after="0" w:line="19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Other federal and state laws that restrict the use and protect the privacy and security of personally identifiable information are, in many cases,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Recently, several states have enacted consumer health data laws, which generally require consent for the collection, use, or sharing of any “consumer health data,” which is typically defined as personal information that is linked or reasonably linkable to a consumer and that identifies a consumer’s past, present, or future physical or mental health. Other states have enacted similar bills.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Future laws, regulations, standards, obligations, amendments, and changes in the interpretation of existing laws, regulations, standards, and obligations could impair our or our clients’ ability to Process information relating to consumers, which could decrease demand for our platform, increase our costs, and impair our ability to maintain and grow our client base, and increase our revenue. New laws, amendments to or re-interpretations of existing laws and regulations, industry standards, and contractual obligations could impair our or our clients’ ability to collect, use, or disclose information relating to patients or consumers, which could decrease demand for our platform offerings, increase our costs, and impair our ability to maintain and grow our client base, and increase our revenue. Accordingly, we may find it necessary or desirable to fundamentally change our business activities and practices or to expend significant resources to modify our software or platform and otherwise adapt to these changes.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self-regulatory standards and industry certifications that may legally or contractually apply to us. These include the Payment Card Industry Data Security Standards (“PCI-DSS”) and AICPA Systems and Organization Controls 2 (“SOC 2”), with which we are currently compliant, and HITRUST certification, which we currently maintain. In the event we fail to comply with the PCI-DSS or fail to maintain our SOC 2 or HITRUST certification, we could be in breach of our obligations under client and other contracts, fines, and other penalties could result, and we may suffer reputational harm and damage to our business. Further, our clients may expect us to comply with more stringent privacy, data storage, and data security requirements than those imposed by laws, regulations or self-regulatory requirements, and we may be obligated contractually to comply with additional or different standards relating to our handling or protection of data.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domestic laws or regulations, industry standards, or other legal obligations, or any actual or suspected breach or privacy or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clients to lose trust in us, which could have an adverse effect on our reputation and business. We may be unable to make such changes and modifications in a commercially reasonable manner or at all, and our ability to develop new products and features could be limited. Any of these developments could harm our business, financial condition, and results of operations. Privacy and data security concerns, whether valid or not valid, may inhibit retention of our platform or services by existing clients or adoption of our platform or services by new clients.</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rapidly evolving, and we may experience reduced revenues and/or be forced to reduce our prices in response to changes to the healthcare regulatory landscape. Value-based care, surprise medical billing, and other laws and regulations that reduce or otherwise affect physician payments and reimbursement could adversely affect the number of transactions we process and our ability to recover charges for our clients’ services.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revenue reductions or pricing pressures arising from various sources, including government actions and the trend of payors shifting to new reimbursement models and value-based care arrangements that incentivize healthcare providers to improve the health of their patients while managing medical expenses of a particular population. Value-based care reimbursement models implemented by government healthcare programs or private third-party payors could materially change the manner in which our clients are reimbursed. Our clients and other entities with which we have business relationships are also affected by other changes in statutes, regulations, and limitations on government spending for Medicare, Medicaid, and other programs. Recent and future government actions, including federal government cost-cutting, efficiency, and fraud and abuse initiatives may also result have a significant adverse impact on our business, and legislation or executive actions could limit or attempt to limit government spending for Medicare and Medicaid programs, limit payments to healthcare providers, initiate new and expanded value-based care reimbursement programs, impose price controls, and create other programs that potentially could have an adverse effect on our clients and the other entities with which we have a business relationship. If such actions or programs reduce the number of transactions, our revenues may decline along with our ability to absorb overhead costs, which may leave our business less profitable. Any failure to adequately implement strategic initiatives to adjust to these developments could have a material adverse impact on our business.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the federal No Surprises Act, enacted in 2020, has impacted our clients, and may impact our business, product offerings, and procedures surrounding claims processing. The No Surprises Act may impact transaction volume and the manner in which our clients use our platform and may necessitate changes to our client contracting model to better align with the ways that our clients are being reimbursed. The No Surprises Act prohibits, among other things, “balance billing” or “surprise billing” by limiting patient costs for services to cost-sharing amounts and by banning providers from billing patients above these cost-sharing amounts. The No Surprises Act also created additional price transparency requirements, including the requirement that providers send patients and health plans a good faith estimate of the expected charges for furnishing certain items or services. If the actual charges are substantially higher than the estimate, the patient can invoke a dispute resolution process to challenge the higher amount. Further, subject to limited exceptions, the No Surprises Act also prohibited out-of-network providers from charging patients more than the relevant in-network cost sharing amount.</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number of state governments have also enacted or may enact legislation on surprise medical bills, which may adversely affect our revenue in those states. These measures could limit the amount our clients can recover for certain services they furnish where they have not contracted with the insurer, and therefore could have a material adverse effect on our business, financial condition, results of operations, and cash flows. For example, state surprise billing laws have established payment standards based on the median in-network rate or a multiplier of what Medicare would pay. These payment standards are often less than the average out-of-network payment and could therefore have an adverse effect on reimbursement rates, and we may experience additional impacts if more states adopt such laws. Moreover, these measures could affect our client’s ability to contract with certain payors or under historically similar terms, and may cause, and the prospect of these changes may cause, payors to seek to terminate or modify their contracts with our clients, further affecting our business, financial condition, results of operations, and cash flows. There is also risk that additional legislation at the federal and state level will give rise to major third-party payors leveraging this legislation or related changes as an opportunity to terminate and renegotiate existing reimbursement rates, which may also adversely affect our business, financial condition, results of operations, and cash flows.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Additionally, there have been numerous federal legislative and administrative actions that have affected government programs, including adjustments that have reduced or increased payments to physicians and other healthcare providers and adjustments that have affected the complexity of our work. For example, the Medicare Access and CHIP Reauthorization Act of 2015 established a Quality Payment Program that requires physician groups to track and report a multitude of data relating to quality, clinical practice improvement activities, use of an EHR, and cost. Success or failure with respect to these measures may impact reimbursement in future years. Similarly, hospitals participating in the Medicare Value-Based Purchasing Program, which requires the reporting of quality and cost measures, may receive a net decrease in payments. It is possible that the federal or state governments will implement additional reductions, increases, or changes in reimbursement under government programs that will adversely affect our client base or increase the cost of providing our services. Any such changes could adversely affect our own financial condition by reducing the reimbursement rates of our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party to legal, regulatory, and other proceedings that could result in adverse outcomes.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been, and may in the future be, a party to legal and regulatory proceedings and investigations, and other proceedings and investigations arising in the ordinary course of business, such as claims brought by our clients in connection with commercial disputes and employment claims made by our current or former employees. Claims may also be asserted by or on behalf of a variety of other parties, including government agencies, patients or vendors of our clients, or stockholders. In addition, there are an increasing number of, and we may be subject to, investigations and proceedings in the healthcare industry generally that seek recovery under HIPAA, anti-kickback laws, false claims laws, civil monetary penalties laws, the Stark Law, state laws, and other statutes and regulations applicable to our business as described in more detail above. These and other similar statutory requirements impose statutory penalties for proven violations, which could be significant. We also may be subject to legal proceedings under non-healthcare federal and state laws affecting our business, such as the TCPA, the FDCPA, the Fair Credit Reporting Act, CAN-SPAM Act, Junk Fax Act, the CCPA, employment, banking and financial services, and USPS laws and regulations, as further detailed above and below. Such proceedings are inherently unpredictable, and the outcome can result in verdicts and/or injunctive relief that may affect how we operate our business or we may enter into settlements of claims for monetary payments. In some cases, substantial non-economic remedies or punitive damages may be sought. Governmental investigations, audits, and other reviews could also result in criminal penalties or other sanctions, including restrictions, changes in the way we conduct business, or exclusion from participation in government programs. We evaluate our exposure to these legal and regulatory proceedings and establish reserves for the estimated liabilities in accordance with GAAP. Assessing and predicting the outcome of these matters involves substantial uncertainties. Unexpected outcomes in these legal proceedings, or changes in management’s evaluations or predictions and accompanying changes in established reserves, could have a material adverse impact on our business, results of operations, or financial condition.</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Litigation is costly, time-consuming, and disruptive to normal business operations. The defense of these matters could also result in continued diversion of our management’s time and attention away from business operations, which could also harm our business. Insurance may not cover existing or future claims, be sufficient to fully compensate us for one or more of such claims, or continue to be available on terms acceptable to us. A claim brought against us that is uninsured or underinsured could result in unanticipated costs, thereby reducing our results of operations and resulting in a reduction in the trading price of our common stock. Even if these matters are resolved in our favor, the uncertainty and expense associated with unresolved legal proceedings could harm our business and reputation.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contractually required to comply with Bank Secrecy Act and Anti-Money Laundering (“BSA/AML”) laws and regulations as a payment facilitator in certain instances.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contractually required to comply with certain anti-money laundering laws and regulations. For instance, we comply with certain provisions of the Bank Secrecy Act, as amended by the USA PATRIOT Act of 2001, and its implementing regulations (collectively, the “BSA”), which are enforced by the Financial Crimes Enforcement Network (“FinCEN”), a bureau of the U.S. Department of the Treasury and the U.S. Department of Justice. We have policies, procedures, systems, and controls designed to identify and address potentially impermissible transactions under these laws and regulations. In addition, we provide BSA/AML training to certain employees to help ensure compliance with such contractual requirements. However, any failure to comply with such contractual requirements could subject us to potential liability for breach of contract, which could adversely affect our business or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laws regulate our ability to engage in certain marketing activities.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marketing techniques, including email and telephone marketing. These activities are regulated by legislation such as the CAN-SPAM Act and the TCPA. The CAN-SPAM Act imposes penalties for the transmission of commercial emails that do not comply with certain requirements, such as providing an opt-out mechanism for stopping future emails from the sender. The TCPA places certain restrictions on making outbound calls, faxes, and text messages to consumers. Any failure by us to comply fully with any such applicable laws or regulations may subject us to substantial fines and penalties. In addition, any future restrictions in laws such as the CAN-SPAM Act, the TCPA, and various other laws and regulations regarding marketing and solicitation activities could adversely affect the continuing effectiveness of our marketing efforts and could force changes in our marketing strategies. If this occurs, we may not be able to develop adequate alternative marketing strategies, which could have a material adverse impact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fully with website accessibility standards.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conduct business through various internet websites and web-based applications that are subject to accessibility requirements. Courts have ruled that the Americans with Disabilities Act (“ADA”) applies to internet websites and other digital experiences and litigation related to ADA website accessibility has soared in recent years. Failing to comply with those requirements could leave us subject to claims, litigation, lawsuits, and, ultimately, substantial fines and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tax legislation or exposure to additional tax liabilities.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Current economic and political conditions make tax rates in any jurisdiction subject to significant change. Our future effective tax rates could also be affected by changes in the valuation of our deferred tax assets and liabilities, or changes in tax laws or their interpretation, including changes in tax laws affecting our products and solutions and the healthcare industry more generally. We are also subject to the examination of our tax returns and other documentation by the Internal Revenue Service and state tax authorities. We regularly assess the likelihood of an adverse outcome resulting from these examinations to determine the adequacy of our provision for taxes. There can be no assurance as to the outcome of these examinations or that our assessments of the likelihood of an adverse outcome will be correct. If our effective tax rates were to increase or if the ultimate determination of our taxes owed is for an amount in excess of amounts previously accrued, then this could materially and adversely impact our financial condition and results of operations.</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Tax Cuts and Jobs Act of 2017 (the “TCJA”)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This change was effective January 1, 2022. Unless the United States Treasury Department issues regulations that narrow the application of this provision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Future changes in our stock ownership, some of which are outside of our control, could result in an ownership change under Section 382 of the Internal Revenue Code of 1986, as amended (the “Code”). In addition, under the TCJA, as amended by The Coronavirus Aid, Relief, and Economic Security Act of 2020, the amount of post 2017 NOLs that we are permitted to utilize in any taxable year is limited to 80% of our taxable income in such year, where taxable income is determined without regard to the NOL deduction itself. For these reasons, we may not be able to realize a tax benefit from the use of our NOLs. We have a valuation allowance related to our NOLs to recognize only the portion of the NOL that is more likely than not to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net represent approximately 89% of our total assets as of December 31, 2024 and we could suffer losses due to asset impairment charges.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GAAP, goodwill and intangible assets with an indefinite life are not amortized but are subject to a periodic impairment evaluation. We assess our goodwill and other intangible assets for impairment periodically in accordance with applicable authoritative accounting guidance.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89"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2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negatively affect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outstanding indebtedness of approximately $1.2 billion, consisting of $1.2 billion outstanding under our First Lien Credit Facility and $80 million outstanding under our Receivables Facility and not including $12 million of finance lease obligations. Additionally, we had $400 million of availability under our Revolving Credit Facility as of December 31, 2024. As of December 31, 2024, there is no outstanding balance on our Revolving Credit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substantial indebtedness may:</w:t>
      </w:r>
    </w:p>
    <w:p>
      <w:pPr>
        <w:spacing w:after="0" w:line="225"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238"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62" w:lineRule="exact"/>
        <w:rPr>
          <w:rFonts w:ascii="Times New Roman" w:cs="Times New Roman" w:eastAsia="Times New Roman" w:hAnsi="Times New Roman"/>
          <w:sz w:val="18"/>
          <w:szCs w:val="18"/>
          <w:color w:val="auto"/>
        </w:rPr>
      </w:pPr>
    </w:p>
    <w:p>
      <w:pPr>
        <w:ind w:left="1000" w:right="40" w:hanging="317"/>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77" w:lineRule="exact"/>
        <w:rPr>
          <w:rFonts w:ascii="Times New Roman" w:cs="Times New Roman" w:eastAsia="Times New Roman" w:hAnsi="Times New Roman"/>
          <w:sz w:val="18"/>
          <w:szCs w:val="18"/>
          <w:color w:val="auto"/>
        </w:rPr>
      </w:pPr>
    </w:p>
    <w:p>
      <w:pPr>
        <w:ind w:left="1000" w:right="200" w:hanging="317"/>
        <w:spacing w:after="0" w:line="29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governing our Credit Facilities may restrict our ability to pursue our business strategies.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agreements governing our Credit Facilities contain, and any future credit agreements we may enter into may contain, a number of covenants that, among other things, restrict our ability to, subject to certain exceptions:</w:t>
      </w:r>
    </w:p>
    <w:p>
      <w:pPr>
        <w:spacing w:after="0" w:line="162"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fundamental changes;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acquisitions;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repurchase, or amend the terms of certain subordinated indebtedness;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negative pledge clauses;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3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covenants and restrictions, we are and will be limited in how we conduct our business, and we may be unable to raise additional debt or equity financing to compete effectively or to take advantage of new business opportunities.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Revolving Credit Facility requires us to maintain a first lien leverage ratio, to be tested on the last day of each fiscal quarter for which financial statements have been delivered, but only if, on the last day of such fiscal quarter, the aggregate amount of loans under the Revolving Credit Facility and certain letters of credit (in each case subject to certain exceptions specified therein) which are outstanding and/or issued, as applicable, exceeds 35% of the total amount of the commitments in respect of the Revolving Credit Facility.</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comply with these covenants may be affected by events beyond our control, and we may not be able to meet those covenants. The terms of any future indebtedness we may incur could include more restrictive covenants. A breach of any such covenants could result in a default under the applicable credit agreement, which could cause all of the outstanding indebtedness under such debt agreement to become immediately due and payable and terminate all commitments to extend further credit. If we are unable to meet our obligations, we may be required to repay any outstanding amounts with sources of capital we may otherwise use to fund our business, operations, and strategy. In addition, if we are forced to refinance these borrowings on less favorable terms, our results of operations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we may need to incur additional indebtedness under our current Credit Facilities or seek capital through new equity or debt financings, which sources of additional capital may not be available to us on acceptable terms or at all.</w:t>
      </w:r>
    </w:p>
    <w:p>
      <w:pPr>
        <w:spacing w:after="0" w:line="17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intend to continue to make significant investments to support our business growth, respond to business challenges or opportunities, develop new products and solutions, enhance our existing products and solutions, enhance our operating infrastructure, and potentially acquire complementary businesses and technologies.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the need to:</w:t>
      </w:r>
    </w:p>
    <w:p>
      <w:pPr>
        <w:spacing w:after="0" w:line="162" w:lineRule="exact"/>
        <w:rPr>
          <w:sz w:val="20"/>
          <w:szCs w:val="20"/>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products and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channel partners, joint ventures, and co-investments;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products, or solutions.</w:t>
      </w:r>
    </w:p>
    <w:p>
      <w:pPr>
        <w:spacing w:after="0" w:line="2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equity-linked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general macroeconomic conditions.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Geopolitical instability, including the conflict between Russia and Ukraine, actual and potential shifts in U.S. and foreign, trade, economic, and other policies, and rising trade tensions between the United States and China, as well as other global events, have significantly increased macroeconomic uncertainty at a global level. The current U.S. macroeconomic environment is characterized by recent record-high inflation, supply chain challenges, labor shortages, high interest rates, foreign currency exchange volatility, volatility in global capital markets, and growing recession risk. Such economic volatility could adversely affect our business, financial condition, results of operations and cash flows, and future market disruptions could negatively impact us. Further, adverse macroeconomic conditions affect our clients’ and prospective clients’ operations and financial condition and make it difficult for our clients and prospective clients to accurately forecast and plan future business activities, which may in turn cause our clients to elect not to renew their contracts or affect their ability to pay amounts owed to us in a timely manner or at all, or adversely affect prospective clients’ ability or willingness to enter into contracts with us. We have also observed the effect of inflation on our labor and cost structure. If these trends continue, our business, results of operations, financial condition, and cash flows may be materially adversely affected.</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 economic downturn or increased uncertainty may also lead to increased credit and collectability risks, higher borrowing costs or reduced availability of capital and credit markets, reduced liquidity, adverse impacts on our suppliers, failures of counterparties including financial institutions and insurers, asset impairments, and declines in the value of our financial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achieve or maintain profitability in the future.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incurred net losses of $19.1 million, $51.3 million, and $51.5 million for the years ended December 31, 2024, 2023, and 2022, respectively. Our operating expenses may increase substantially in the foreseeable future, as we increase investments in our business. Furthermore, as a public company, we have incurred and will continue to incur additional legal, accounting, and other expenses that we did not incur as a private company. As a result, our net losses may continue for the foreseeable future.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efforts and additional expenses may prove more expensive than we expect, and we cannot guarantee that we will be able to increase our revenue to offset such expenses. Our revenue growth may slow or our revenue may decline for a number of other reasons, including increased competition, or if we cannot capitalize on growth opportunities. If our revenue does not grow at a greater rate than our operating expenses, we will not be able to achieve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Institutional Investors hold a significant percentage of our outstanding common stock and their interests may be different than the interests of other holders of our securities.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12</w:t>
      </w:r>
      <w:r>
        <w:rPr>
          <w:rFonts w:ascii="Times New Roman" w:cs="Times New Roman" w:eastAsia="Times New Roman" w:hAnsi="Times New Roman"/>
          <w:sz w:val="16"/>
          <w:szCs w:val="16"/>
          <w:color w:val="auto"/>
        </w:rPr>
        <w:t>, 2025, t</w:t>
      </w:r>
      <w:r>
        <w:rPr>
          <w:rFonts w:ascii="Times New Roman" w:cs="Times New Roman" w:eastAsia="Times New Roman" w:hAnsi="Times New Roman"/>
          <w:sz w:val="18"/>
          <w:szCs w:val="18"/>
          <w:color w:val="auto"/>
        </w:rPr>
        <w:t>he Institutional Investors owned approximately 66% of our outstanding common stock. As a result, the Institutional Investors are able to control or influence actions to be taken by us, including future issuances of our common stock or other securities, the payment of dividends, if any, on our common stock, amendments to our organizational documents, and the approval of significant corporate transactions, including mergers, sales of substantially all of our assets, distributions of our assets, the incurrence of indebtedness, and any incurrence of liens on our assets.</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interests of the Institutional Investors may be materially different than the interests of our other stakeholders. In addition, the Institutional Investors may have an interest in pursuing acquisitions, divestitures, and other transactions that, in their judgment, could enhance their investment, even though such transactions might involve risks to other stockholders. For example, the Institutional Investors may cause us to take actions or pursue strategies that could impact our ability to make payments under our Credit Facilities or cause a change of control. In addition, to the extent permitted by agreements governing our Credit Facilities, the Institutional Investors may cause us to pay dividends rather than make capital expenditures or repay debt. The Institutional Investors are in the business of making investments in companies and may from time to time acquire and hold interests in businesses that compete directly or indirectly with us. Our amended and restated certificate of incorporation provides that none of the Institutional Investors,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Institutional Investors also may pursue acquisition opportunities that may be complementary to our business, and, as a result, those acquisition opportunities may not be available to us.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 long as the Institutional Investors continue to own a significant amount of our outstanding common stock, even if such amount is less than 50%, they will continue to be able to strongly influence or effectively control our decisions and, so long as each of the Institutional Investors continues to own shares of our outstanding common stock, they will have the ability to nominate individuals to our board of directors. See Part III, Item 13, “Certain Relationships and Related Transactions and Director Independence—Stockholders Agreement.” In addition, the Institutional Investors, acting together,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other stockholders of an opportunity to receive a premium for their shares of common stock as part of a sale of our company and ultimately might affect the market price of our common stock.</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and we may take advantage of certain exemptions and relief from various reporting requirements that are applicable to other public companies that are not “emerging growth companies.” In particular, while we are an “emerging growth company,” among other exemptions:</w:t>
      </w:r>
    </w:p>
    <w:p>
      <w:pPr>
        <w:spacing w:after="0" w:line="176" w:lineRule="exact"/>
        <w:rPr>
          <w:sz w:val="20"/>
          <w:szCs w:val="20"/>
          <w:color w:val="auto"/>
        </w:rPr>
      </w:pPr>
    </w:p>
    <w:p>
      <w:pPr>
        <w:ind w:left="1000" w:right="160" w:hanging="317"/>
        <w:spacing w:after="0" w:line="29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required to engage an independent registered public accounting firm to report on our internal controls over financial reporting pursuant to Section 404(b) of the Sarbanes-Oxley Act,</w:t>
      </w:r>
    </w:p>
    <w:p>
      <w:pPr>
        <w:sectPr>
          <w:pgSz w:w="11900" w:h="16838" w:orient="portrait"/>
          <w:cols w:equalWidth="0" w:num="1">
            <w:col w:w="9900"/>
          </w:cols>
          <w:pgMar w:left="980" w:top="513" w:right="101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60" w:hanging="317"/>
        <w:spacing w:after="0" w:line="29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reduced disclosure obligations regarding executive compensation in our periodic reports and proxy statements, and</w:t>
      </w:r>
    </w:p>
    <w:p>
      <w:pPr>
        <w:spacing w:after="0" w:line="162" w:lineRule="exact"/>
        <w:rPr>
          <w:rFonts w:ascii="Times New Roman" w:cs="Times New Roman" w:eastAsia="Times New Roman" w:hAnsi="Times New Roman"/>
          <w:sz w:val="18"/>
          <w:szCs w:val="18"/>
          <w:color w:val="auto"/>
        </w:rPr>
      </w:pPr>
    </w:p>
    <w:p>
      <w:pPr>
        <w:ind w:left="1000" w:hanging="317"/>
        <w:spacing w:after="0" w:line="28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required to comply with the requirement in Public Company Accounting Oversight Board Auditing Standard 3101, The Auditor’s Report on an Audit of Financial Statements When the Auditor Expresses an Unqualified Opinion, to communicate critical audit matters in the auditor’s report;</w:t>
      </w:r>
    </w:p>
    <w:p>
      <w:pPr>
        <w:spacing w:after="0" w:line="177" w:lineRule="exact"/>
        <w:rPr>
          <w:rFonts w:ascii="Times New Roman" w:cs="Times New Roman" w:eastAsia="Times New Roman" w:hAnsi="Times New Roman"/>
          <w:sz w:val="18"/>
          <w:szCs w:val="18"/>
          <w:color w:val="auto"/>
        </w:rPr>
      </w:pPr>
    </w:p>
    <w:p>
      <w:pPr>
        <w:ind w:left="1000" w:hanging="317"/>
        <w:spacing w:after="0" w:line="28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permitted to present only two years of audited financial statements and only two years of related “Management’s Discussion and Analysis of Financial Condition and Results of Operations” in our periodic reports and registration statements;</w:t>
      </w:r>
    </w:p>
    <w:p>
      <w:pPr>
        <w:spacing w:after="0" w:line="177" w:lineRule="exact"/>
        <w:rPr>
          <w:rFonts w:ascii="Times New Roman" w:cs="Times New Roman" w:eastAsia="Times New Roman" w:hAnsi="Times New Roman"/>
          <w:sz w:val="18"/>
          <w:szCs w:val="18"/>
          <w:color w:val="auto"/>
        </w:rPr>
      </w:pPr>
    </w:p>
    <w:p>
      <w:pPr>
        <w:ind w:left="1000" w:right="120" w:hanging="317"/>
        <w:spacing w:after="0" w:line="28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required to disclose certain executive compensation related items such as the correlation between executive compensation and performance and comparisons of the chief executive officer’s compensation to median employee compensation; or</w:t>
      </w:r>
    </w:p>
    <w:p>
      <w:pPr>
        <w:spacing w:after="0" w:line="177"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required submit certain executive compensation matters to stockholder advisory votes, such as “say-on-pay,” “say-on-frequency,” and “say-on-golden parachutes.”</w:t>
      </w:r>
    </w:p>
    <w:p>
      <w:pPr>
        <w:spacing w:after="0" w:line="16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meaning that we can delay the adoption of certain accounting standards until those standards would otherwise apply to private companies. We have elected to take advantage of this extended transition period, and as a result, our financial statements may not be comparable with similarly situated public companies.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our reporting of $1.24 billion or more in annual gross revenue; (2) our becoming a “large accelerated filer,” with at least $700 million of equity securities held by non-affiliates; (3) our issuance, in any three year period, of more than $1.0 billion in non-convertible debt; and (4) the fiscal year end following the fifth anniversary of the completion of our initial public offering.</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 exemptions and relief granted by the JOBS Act.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decline and/or become more volatile.</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increased costs and become subject to additional regulations and requirements as a result of becoming a public company, and our management is required to devote substantial time to compliance matters.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regulatory, finance, accounting, investor relations, and other expenses that we did not incur as a private company, including costs associated with public company reporting requirements and costs of recruiting and retaining non- executive directors. We also have incurred and will continue to incur costs associated with the Sarbanes- Oxley Act and the Dodd-Frank Act, and related rules implemented by the SEC, and Nasdaq. The expenses incurred by public companies for reporting and corporate governance purposes have been increasing. These rules and regulations have increased our legal and financial compliance costs and have made some activities more time-consuming and costly. Our management devotes a substantial amount of time to ensure that we comply with all of these requirements, diverting the attention of management away from revenue- 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are subject to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(“Section 404”), to furnish a report by management on, among other things, the effectiveness of our internal control over financial reporting in the second annual report following the completion of our initial public offering.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Once we are no longer an “emerging growth company,” our auditors will be required to issue an attestation report on the effectiveness of our internal controls on an annual basis.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us or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financial statements or disclosures that may not be prevented or detected.</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179"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volatile and may continue to fluctuate substantially, which could result in substantial losses for purchasers of our common stock.</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extreme volatility in the past. This volatility often has been unrelated or disproportionate to the operating performance of particular companies. Since shares of our common stock were sold in our IPO in June 2024 at a price of $21.50 per share, our stock price has ranged from $20.26 to $42.56 through February 12, 2025. The market price of our common stock has fluctuated in the past and may continue to fluctuate substantially due to a number of factors such as those listed in Part I, Item 1A, “Risk Factors—Risks Related to our Business and our Industry” and the following:</w:t>
      </w:r>
    </w:p>
    <w:p>
      <w:pPr>
        <w:spacing w:after="0" w:line="183"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238" w:lineRule="exact"/>
        <w:rPr>
          <w:rFonts w:ascii="Times New Roman" w:cs="Times New Roman" w:eastAsia="Times New Roman" w:hAnsi="Times New Roman"/>
          <w:sz w:val="18"/>
          <w:szCs w:val="18"/>
          <w:color w:val="auto"/>
        </w:rPr>
      </w:pPr>
    </w:p>
    <w:p>
      <w:pPr>
        <w:ind w:left="1000" w:right="280" w:hanging="317"/>
        <w:spacing w:after="0" w:line="28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 or failure of securities analysts to initiate or maintain coverage of our common stock;</w:t>
      </w:r>
    </w:p>
    <w:p>
      <w:pPr>
        <w:spacing w:after="0" w:line="1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9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healthcare technology companies or SaaS companies regardless of industry;</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dispositions, joint ventures, other strategic relationships, or capital commitments;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clients and our market share;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238" w:lineRule="exact"/>
        <w:rPr>
          <w:rFonts w:ascii="Times New Roman" w:cs="Times New Roman" w:eastAsia="Times New Roman" w:hAnsi="Times New Roman"/>
          <w:sz w:val="18"/>
          <w:szCs w:val="18"/>
          <w:color w:val="auto"/>
        </w:rPr>
      </w:pPr>
    </w:p>
    <w:p>
      <w:pPr>
        <w:ind w:left="1000" w:right="500" w:hanging="317"/>
        <w:spacing w:after="0" w:line="29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62" w:lineRule="exact"/>
        <w:rPr>
          <w:rFonts w:ascii="Times New Roman" w:cs="Times New Roman" w:eastAsia="Times New Roman" w:hAnsi="Times New Roman"/>
          <w:sz w:val="18"/>
          <w:szCs w:val="18"/>
          <w:color w:val="auto"/>
        </w:rPr>
      </w:pPr>
    </w:p>
    <w:p>
      <w:pPr>
        <w:ind w:left="1000" w:right="160" w:hanging="317"/>
        <w:spacing w:after="0" w:line="29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62" w:lineRule="exact"/>
        <w:rPr>
          <w:rFonts w:ascii="Times New Roman" w:cs="Times New Roman" w:eastAsia="Times New Roman" w:hAnsi="Times New Roman"/>
          <w:sz w:val="18"/>
          <w:szCs w:val="18"/>
          <w:color w:val="auto"/>
        </w:rPr>
      </w:pPr>
    </w:p>
    <w:p>
      <w:pPr>
        <w:ind w:left="1000" w:right="560" w:hanging="317"/>
        <w:spacing w:after="0" w:line="29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claims and/or allegations relating to litigation, governmental investigations, or compliance with applicable laws and regulations;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38" w:lineRule="exact"/>
        <w:rPr>
          <w:rFonts w:ascii="Times New Roman" w:cs="Times New Roman" w:eastAsia="Times New Roman" w:hAnsi="Times New Roman"/>
          <w:sz w:val="18"/>
          <w:szCs w:val="18"/>
          <w:color w:val="auto"/>
        </w:rPr>
      </w:pPr>
    </w:p>
    <w:p>
      <w:pPr>
        <w:ind w:left="1000" w:right="460" w:hanging="317"/>
        <w:spacing w:after="0" w:line="28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data security incidents or breaches, natural disasters, war, including the ongoing conflict in Ukraine, acts of terrorism, or responses to these events.</w:t>
      </w:r>
    </w:p>
    <w:p>
      <w:pPr>
        <w:spacing w:after="0" w:line="17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in general have experienced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are low.</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common stock may dilute the percentage ownership of existing owners, which could reduce their influence over matters on which stockholders vote.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February 12, 2025, we have approximately 2,327,848,161 shares of common stock authorized but unissued. Our amended and restated certificate of incorporation authorizes us to issue these shares of common stock, other equity or equity-linked securities, options, and other equity awards relating to our common stock for the consideration and on the terms and conditions established by our board of directors in its sole discretion, whether in connection with acquisitions or otherwise. Issuances of common stock or voting preferred stock would reduce the influence of existing stockholders over matters on which our stockholders vote, and, in the case of issuances of preferred stock, would likely result in such existing owners’ interest in us being subject to the prior rights of holders of that preferred stock, if any.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reserved, or will reserve in the future, shares for issuance (i) for outstanding awards under our 2019 Stock Incentive Plan and for grants under our 2024 Equity Incentive Plan and (ii) under our 2024 Employee Stock Purchase Plan. See Part III, Item 11, “Executive Compensation—Equity Awards.” Any common stock that we issue, including under our 2019 Stock Incentive Plan, 2024 Equity Incentive Plan, 2024 Employee Stock Purchase Plan, or other equity incentive plans that we may adopt in the future, would dilute the percentage ownership of existing investors. In the future, we may also issue our securities in connection with investments or acquisitions. The amount of shares of our common stock issued in connection with an investment or acquisition could constitute a material portion of our then- outstanding shares of our common stock. Any issuance of additional securities in connection with investments or acquisitions may result in additional dilution to existing stockholders.</w:t>
      </w:r>
    </w:p>
    <w:p>
      <w:pPr>
        <w:spacing w:after="0" w:line="18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stockholders may not receive any return on investment unless they sell their shares of common stock for a price greater than that which they paid for it.</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Part II, Item 5, “Market for Registrant’s Common Equity, Related Stockholder Matters and Issuer Purchases of Equity Securities—Dividend Policy.”</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a result, stockholders may not receive any return on an investment in our common stock unless they sell our common stock for a price greater than their purchase price.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dated as of June 10, 2024, by and among Waystar Holding Corp. and the other parties named therein, certain of our existing stockholders have the right, subject to certain conditions, to require us to register the sale of their shares of our common stock under the Securities Act. See Part III, Item 13, “Certain Relationships and Related Transactions and Director Independence—“Registration Rights Agreement.” By exercising their demand registration rights and selling a large number of shares, such existing stockholders could cause the prevailing market price of our common stock to decline. Registration of any of these outstanding shares of our common stock would result in such shares becoming freely tradable without compliance with Rule 144 upon effectiveness of the registration statement.</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deter,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80" w:lineRule="exact"/>
        <w:rPr>
          <w:sz w:val="20"/>
          <w:szCs w:val="20"/>
          <w:color w:val="auto"/>
        </w:rPr>
      </w:pPr>
    </w:p>
    <w:p>
      <w:pPr>
        <w:ind w:left="1000" w:right="100" w:hanging="317"/>
        <w:spacing w:after="0" w:line="27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until the second annual meeting of stockholders after the date on which the Institutional Investors collectively own less than 15% in voting power of the then- outstanding power of the then-outstanding shares of stock of our Company entitled to vote generally in the election of directors, as a result of which our board of directors will be divided into three classes until such time, with each class serving for staggered three-year terms;</w:t>
      </w:r>
    </w:p>
    <w:p>
      <w:pPr>
        <w:spacing w:after="0" w:line="18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238" w:lineRule="exact"/>
        <w:rPr>
          <w:rFonts w:ascii="Times New Roman" w:cs="Times New Roman" w:eastAsia="Times New Roman" w:hAnsi="Times New Roman"/>
          <w:sz w:val="18"/>
          <w:szCs w:val="18"/>
          <w:color w:val="auto"/>
        </w:rPr>
      </w:pPr>
    </w:p>
    <w:p>
      <w:pPr>
        <w:ind w:left="1000" w:right="340" w:hanging="317"/>
        <w:spacing w:after="0" w:line="29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 and taking stockholder action by written consent;</w:t>
      </w:r>
    </w:p>
    <w:p>
      <w:pPr>
        <w:spacing w:after="0" w:line="238" w:lineRule="exact"/>
        <w:rPr>
          <w:rFonts w:ascii="Times New Roman" w:cs="Times New Roman" w:eastAsia="Times New Roman" w:hAnsi="Times New Roman"/>
          <w:sz w:val="18"/>
          <w:szCs w:val="18"/>
          <w:color w:val="auto"/>
        </w:rPr>
      </w:pPr>
    </w:p>
    <w:p>
      <w:pPr>
        <w:ind w:left="1000" w:right="40" w:hanging="317"/>
        <w:spacing w:after="0" w:line="269"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protective period commencing on the day on which the Institutional Investors collectively beneficially own less than 40% in voting power of the then-outstanding shares of our common stock and ending at the second annual meeting of stockholders after the date on which the Institutional Investors collectively own less than 15% in voting power of the then-outstanding power of our common stock (such period, the “Protective Period”), the removal of directors only for cause and only upon the affirmative vote of the holders of at least 662∕3% of the shares of common stock entitled to vote generally in the election of directors; and</w:t>
      </w:r>
    </w:p>
    <w:p>
      <w:pPr>
        <w:spacing w:after="0" w:line="201" w:lineRule="exact"/>
        <w:rPr>
          <w:rFonts w:ascii="Times New Roman" w:cs="Times New Roman" w:eastAsia="Times New Roman" w:hAnsi="Times New Roman"/>
          <w:sz w:val="18"/>
          <w:szCs w:val="18"/>
          <w:color w:val="auto"/>
        </w:rPr>
      </w:pPr>
    </w:p>
    <w:p>
      <w:pPr>
        <w:jc w:val="both"/>
        <w:ind w:left="1000" w:right="360" w:hanging="317"/>
        <w:spacing w:after="0" w:line="28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Protective Period, the required approval of at least 662∕3% of the voting power of the outstanding shares of capital stock entitled to vote generally in the election of directors, voting together as a single class, to adopt, amend, or repeal certain provisions of our amended and restated certificate of incorporation.</w:t>
      </w:r>
    </w:p>
    <w:p>
      <w:pPr>
        <w:spacing w:after="0" w:line="17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Further, EQT has the right to nominate to our board of directors (i) two nominees for so long as EQT beneficially owns 25% or greater of our then-outstanding common stock and (ii) one nominee for so long as EQT beneficially owns 5% or greater, but less than 25%, of our then outstanding common stock. CPPIB has the right to nominate to our board of directors one nominee for so long as CPPIB beneficially owns 5% or greater of our then-outstanding common stock. Bain has the right to nominate to our board of directors one nominee for so long as Bain beneficially owns 5% or greater of our then-outstanding common stock.</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100,000,000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8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if such court does not have jurisdiction, another state or the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0"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w:t>
      </w:r>
    </w:p>
    <w:p>
      <w:pPr>
        <w:spacing w:after="0" w:line="1" w:lineRule="exact"/>
        <w:rPr>
          <w:sz w:val="20"/>
          <w:szCs w:val="20"/>
          <w:color w:val="auto"/>
        </w:rPr>
      </w:pPr>
    </w:p>
    <w:p>
      <w:pPr>
        <w:ind w:right="40" w:firstLine="8"/>
        <w:spacing w:after="0" w:line="250"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us, (ii) action asserting a claim of breach of a fiduciary duty owed by any current or former director, officer, or other employee or stockholder of ours to us or our stockholders, (iii) action asserting a claim against us or any director or officer of ours arising pursuant to any provision of the DGCL, or our amended and restated certificate of incorporation or our amended and restated bylaws or as to which the DGCL confers jurisdiction on the Court of Chancery of the State of Delaware, or</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governed by the internal affairs doctrine of the State of Delaware.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developed a cybersecurity risk management program to regularly assess risks from cybersecurity threats and monitor our systems to manage those risks. Our cybersecurity risk management program is an important component of, and integrated with, our overall enterprise risk management framework, which addresses legal, compliance, operational, and financial risks, alongside cybersecurity risks. Through this integration, we aim to optimize resource allocation, improve risk identification, and strengthen our cybersecurity governance.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is based on the National Institute of Standards and Technology Cybersecurity Framework (NIST CSF 2.0) and is aimed to assess, identify, and manage risks from cybersecurity threats. The processes comprising our cybersecurity risk management program include risk assessments, vulnerability scanning and penetration testing, threat intelligence monitoring, and employee training and awareness programs. To respond to and handle cybersecurity incidents, we have implemented and maintain a comprehensive incident response process that is regularly tested and updated.</w:t>
      </w:r>
    </w:p>
    <w:p>
      <w:pPr>
        <w:spacing w:after="0" w:line="1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To protect our information systems from cybersecurity threats, we employ technical processes as a crucial component of our multi-layered cybersecurity risk management program. These processes include firewalls, intrusion detection and prevention systems, access controls, endpoint protection, data encryption, vulnerability management, security information event management, data loss prevention, regular security assessments, and penetration testing. Our technical processes are regularly reviewed and updated.</w:t>
      </w:r>
    </w:p>
    <w:p>
      <w:pPr>
        <w:spacing w:after="0" w:line="126"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As part of our cybersecurity risk management program, we undergo regular assessments and audits by external and independent auditors. These include assessments following the Health Information Trust Alliance (HITRUST) Common Security Framework. We also undergo independent System and Organization Controls 2 (SOC 2) Type 2 audits and assessments to validate compliance with the Payment Card Industry Data Security Standard (PCI DSS) requirements. We carry a HITRUST certification and PCI certification. The results of these audits and assessments are reported to our Board of Directors, and we adjust our cybersecurity policies, standards, processes, and practices as necessary or appropriate based on the information provided by these assessments and audits.</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team, which is led by our Digital Information &amp; Cybersecurity Officer (DISO), implements and maintains our cybersecurity risk management program and is dedicated to mitigating risks and protecting the confidentiality, integrity, and availability of our systems and data. Our cybersecurity team’s functions include security operations, vulnerability management, security engineering and architecture, compliance and audit support, threat intelligence, security awareness training, and policy development. Our cybersecurity team is also responsible for developing and executing the incident response plan.</w:t>
      </w:r>
    </w:p>
    <w:p>
      <w:pPr>
        <w:spacing w:after="0" w:line="1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Because we rely on third-party vendors, including for information technology services, we have processes to oversee and identify risks from cybersecurity threats associated with our third-party vendors. These processes include vendor screening and due diligence, contractual requirements, security assessments and audits, incident response planning requirements, and ongoing monitoring.</w:t>
      </w:r>
    </w:p>
    <w:p>
      <w:pPr>
        <w:spacing w:after="0" w:line="12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not aware of any risks from cybersecurity threats, including as a result of previously identified cybersecurity incidents, that have materially affected or are reasonably likely to materially affect us, including our business strategy, results of operations, or financial condition. As discussed more fully under Item 1A “Risk Factors,” there is a risk that we could experience a security incident and a compromise of our information technology systems and data. There is no assurance that our cybersecurity program will in all cases prevent such security incidents. We also maintain cybersecurity insurance that we regularly review to assess for appropriate coverage.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plays an active role in overseeing our cybersecurity risk management program. The Board of Directors or the Audit, Compliance, and Risk Committee receives a quarterly update on cybersecurity-related topics. The Board of Directors receives materials every quarter and presentations on alternating quarters from our Chief Technology Officer (CTO) on topics including significant cyberattacks and emerging threats, cybersecurity program performance, results of risk assessments, incident response updates, cybersecurity strategy, and cybersecurity program maturity. We have also established procedures for promptly informing the Board of Directors of any material cybersecurity incidents outside of these scheduled briefings.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DISO is responsible for developing and implementing our cybersecurity program and holds certifications including ISO/IEC 27001:2002 Certified Information Security Executive, Cyber Security Executive Certification from Cornell University, Risk &amp; Compliance Executive Certification from William &amp; Mary University, and Healthcare Risk &amp; Compliance Certification from American College of Medical Practice Executives (ACMPE). Our DISO’s responsibilities include managing cybersecurity risk, leading the cybersecurity team, staying informed about threats, reporting on cybersecurity performance, promoting a culture of security, and compliance and audit support. Our DISO regularly updates senior management and the Board of Directors on the performance of the cybersecurity program and the state of cybersecurity risk. Our DISO reports directly to our CTO who provides executive leadership and support for the overall technology and cybersecurity strategy.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promote strong governance and oversight in managing cybersecurity risk, we have established a Cyber Risk Council, which is composed of our CTO, DISO, Chief Privacy Officer, Chief Financial Officer, Chief Legal &amp; Administrative Officer, and representatives of our technology and cybersecurity teams. The Cyber Risk Council is responsible for overseeing cybersecurity risk, monitoring performance of the cybersecurity risk management program, providing strategic guidance, and direction of the cybersecurity risk management program, among other oversight and monitoring functions.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are co-located in Lehi, Utah and Louisville, Kentucky. In addition to our headquarters, we have offices in Atlanta, Georgia and Duluth, Georgia. All of our facilities are leased and none of our facilities are used for any purpose other than general office use. We believe that our current facilities meet our needs and we are confident that we will be able to obtain, if needed, additional or different space on commercially reasonable terms to accommodate future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and legal actions that arise in the ordinary course of our business, including claims resulting from employment related matters. We believe that we are not party to any material pending legal proceedings and we are not aware of any claims that could have a material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“WAY.” As of February 12, 2025, there were approximately 21 shareholders of record. This does not include persons whose stock is held in nominee or “street name” accounts through brokers.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2024, we granted an aggregate of 4,003,703 stock options which were not registered under the Securities Act to employees, directors, and consultants under our 2019 Stock Incentive Plan and 2024 Equity Incentive Plan, with per share exercise prices ranging from $21.50 to $37.20. In addition, we issued 2,420 shares of common stock that were not registered under the Securities Act to employees, directors, or consultants under our 2019 Stock Incentive Plan upon the exercise of vested stock options with per share exercise prices ranging from $16.53 to $36.37.</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we did not repurchase any of our equity securities that are registered pursuant to Section 12(b)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Nasdaq Global Composite Index and the S&amp;P 600 Information Technology Index, assuming an initial investment of $100 at the market close of June 7, 2024, the date our stock commenced trading on the Nasdaq. Data for the Nasdaq Global Composite Index and the S&amp;P 600 Information Technology Index assumes reinvestment of dividends. We did not declare cash dividends on our common stock in 2024. The comparisons in the graph below are based 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130810</wp:posOffset>
            </wp:positionV>
            <wp:extent cx="5366385" cy="3420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66385" cy="342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7,</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2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WAY</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$ 103.86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$ 111.11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$ 131.50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137.83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S&amp;P 600 Information</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Index</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r>
      <w:tr>
        <w:trPr>
          <w:trHeight w:val="108"/>
        </w:trPr>
        <w:tc>
          <w:tcPr>
            <w:tcW w:w="2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invested on June 7, 2024, including reinvestment of dividends.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 Data</w:t>
      </w:r>
      <w:r>
        <w:rPr>
          <w:rFonts w:ascii="Times New Roman" w:cs="Times New Roman" w:eastAsia="Times New Roman" w:hAnsi="Times New Roman"/>
          <w:sz w:val="14"/>
          <w:szCs w:val="14"/>
          <w:color w:val="auto"/>
        </w:rPr>
        <w:t>: FactSet</w:t>
      </w:r>
    </w:p>
    <w:p>
      <w:pPr>
        <w:spacing w:after="0" w:line="19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is not deemed “filed” with the SEC, and is not to be incorporated by reference into any future filing under the Securities Act or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Waystar Holding Corp. (“Waystar”, the “Company”, “we”, “us”, and “our”) financial condition and results of operations should be read in conjunction with our consolidated financial statements and the related notes included elsewhere in this Form 10-K.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 entitled “Cautionary Statement Concerning Forward-Looking Statements” above and Part I, Item 1A, “Risk Factors” in this Form 10-K and our other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AI as well as proprietary, advanced algorithms to automate payment-related workflow tasks and drive continuous improvement, which enhances claim and billing accuracy, enriches data integrity, and reduces labor costs for providers.</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the top 20 institutions on the U.S. News Best Hospitals Honor Roll.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2024, we facilitated over six billion healthcare payments transactions, including over $1.8 trillion in gross claims volume. As of 2023, we facilitated healthcare payments transactions spanning approximately 50% of patients in the United States.</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pacing w:after="0" w:line="19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have demonstrated an ability to drive recurring, predictable, and profitable growth. Over 99% of our revenue is either recurring subscription or based on highly predictable volumes. For the twelve months ended December 31, 2024, our Net Revenue Retention Rate was 110.1% and we have 1,203 clients as of December 31, 2024 generating over $100,000 over the same twelve-month period. For the year ended December 31, 2024, we generated revenue of $943.5 million (reflecting a 19.3% increase compared to revenue of $791.0 million for the same period in the prior year), net loss of $19.1 million (compared to net loss of $51.3 million for the same period in the prior year), and Adjusted EBITDA of $383.5 million (reflecting a 14.9% increase compared to Adjusted EBITDA of $333.7 million for the same period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June 2024, we completed an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prospectus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 million. The remaining option to purchase additional shares expired unexercised at the end of the 30-day period. See Part II, Item 8, “Financial Statements—Note 1 (Business)”, for more information.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Affecting Comparability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future growth and profitability of our business, and the comparability of our results from period to period, depend on numerous factors,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Relationship with Existing Clients</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Client Base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are focused on continuing to grow our client base, which will depend in part on our ability to continue to maintain our product leadership, invest in our research and development team, and maintain our reputation and brand.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and Number of Acquisitions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Since 2018, we have completed and successfully integrated nine acquisitions, two of which closed in the second half of 2023; HealthPay24 on August 3, 2023; and certain assets of Olive AI, Inc.’s Clearinghouse and Patient Access business on October 31, 2023. The historical results of operations of our acquisitions are only included starting from the date of closing of such acquisition. As a result, our consolidated statements of operations for any given period during which an acquisition closed may not be comparable to future periods, which would include the results of operations of such acquisition for the entirety of such future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Our Competitor’s Cybersecurity Attack</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Following the February 2024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incident and our response to it generated approximately $34 million in additional revenue in the year ended December 31, 2024 due to increased win rates above our historically competitive rates and associated accelerated implementation timeline.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the IPO</w:t>
      </w:r>
    </w:p>
    <w:p>
      <w:pPr>
        <w:spacing w:after="0" w:line="227" w:lineRule="exact"/>
        <w:rPr>
          <w:sz w:val="20"/>
          <w:szCs w:val="20"/>
          <w:color w:val="auto"/>
        </w:rPr>
      </w:pPr>
    </w:p>
    <w:p>
      <w:pPr>
        <w:ind w:left="1000" w:hanging="317"/>
        <w:spacing w:after="0" w:line="269"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Repayment</w:t>
      </w:r>
      <w:r>
        <w:rPr>
          <w:rFonts w:ascii="Times New Roman" w:cs="Times New Roman" w:eastAsia="Times New Roman" w:hAnsi="Times New Roman"/>
          <w:sz w:val="18"/>
          <w:szCs w:val="18"/>
          <w:color w:val="auto"/>
        </w:rPr>
        <w:t>. In connection with the closing of the IPO, we repaid $909.1 million outstanding principal amount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million accrued interest on our First Lien Credit Facility and incurred debt extinguishment costs of $9.8 million related to the write-off of unamortized debt issuance costs. On July 12, 2024, we utilized the additional proceeds from the underwriters’ exercise of the overallotment option, as well as cash on hand, to repay $110.9 million outstanding principal and $0.4 million accrued interest on our First Lien Credit Facility. The debt repayments will result in lower interest expense moving forward, partially offset by losses on extinguishment of debt in the period the debt repayment is made.</w:t>
      </w:r>
    </w:p>
    <w:p>
      <w:pPr>
        <w:spacing w:after="0" w:line="201" w:lineRule="exact"/>
        <w:rPr>
          <w:rFonts w:ascii="Times New Roman" w:cs="Times New Roman" w:eastAsia="Times New Roman" w:hAnsi="Times New Roman"/>
          <w:sz w:val="18"/>
          <w:szCs w:val="18"/>
          <w:color w:val="auto"/>
        </w:rPr>
      </w:pPr>
    </w:p>
    <w:p>
      <w:pPr>
        <w:ind w:left="1000" w:right="60" w:hanging="317"/>
        <w:spacing w:after="0" w:line="269"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expect to recognize stock-based compensation expense of $17.9 million per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applicable vesting periods in connection with equity awards granted in connection with the IPO. Such stock-based compensation expense will be reflected in our results of operations from the closing date of the IPO through the applicable vesting periods of such awards. Additionally, we recognized $33.1 million of stock-based compensation expense during the year ended December 31, 2024 as the vesting of our performance condition options became probable upon the closing of the IPO as the implicit service period for the awards established at the grant date had elapsed.</w:t>
      </w:r>
    </w:p>
    <w:p>
      <w:pPr>
        <w:spacing w:after="0" w:line="201" w:lineRule="exact"/>
        <w:rPr>
          <w:rFonts w:ascii="Times New Roman" w:cs="Times New Roman" w:eastAsia="Times New Roman" w:hAnsi="Times New Roman"/>
          <w:sz w:val="18"/>
          <w:szCs w:val="18"/>
          <w:color w:val="auto"/>
        </w:rPr>
      </w:pPr>
    </w:p>
    <w:p>
      <w:pPr>
        <w:ind w:left="1000" w:right="200" w:hanging="317"/>
        <w:spacing w:after="0" w:line="270"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Incremental Public Company Expenses. </w:t>
      </w:r>
      <w:r>
        <w:rPr>
          <w:rFonts w:ascii="Times New Roman" w:cs="Times New Roman" w:eastAsia="Times New Roman" w:hAnsi="Times New Roman"/>
          <w:sz w:val="18"/>
          <w:szCs w:val="18"/>
          <w:color w:val="auto"/>
        </w:rPr>
        <w:t>Following the IPO, we have begun to incur significant expenses on an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that we did not incur as a private company. Those costs include additional director and officer liability insurance expenses, as well as third-party and internal resources related to accounting, auditing, Sarbanes-Oxley Act compliance, legal, and investor and public relation expenses. These costs will generally be expensed under general and administrative expenses.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p>
      <w:pPr>
        <w:spacing w:after="0" w:line="185" w:lineRule="exact"/>
        <w:rPr>
          <w:sz w:val="20"/>
          <w:szCs w:val="20"/>
          <w:color w:val="auto"/>
        </w:rPr>
      </w:pPr>
    </w:p>
    <w:p>
      <w:pPr>
        <w:ind w:left="1000" w:right="240" w:hanging="317"/>
        <w:spacing w:after="0" w:line="283"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revenue</w:t>
      </w:r>
      <w:r>
        <w:rPr>
          <w:rFonts w:ascii="Times New Roman" w:cs="Times New Roman" w:eastAsia="Times New Roman" w:hAnsi="Times New Roman"/>
          <w:sz w:val="18"/>
          <w:szCs w:val="18"/>
          <w:color w:val="auto"/>
        </w:rPr>
        <w:t>. Reflects recurring monthly provider count fees and minimum amounts owed. The vast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revenue is generated by provider solutions, which constitute approximately 70% of total revenue for the periods presented.</w:t>
      </w:r>
    </w:p>
    <w:p>
      <w:pPr>
        <w:spacing w:after="0" w:line="172" w:lineRule="exact"/>
        <w:rPr>
          <w:rFonts w:ascii="Times New Roman" w:cs="Times New Roman" w:eastAsia="Times New Roman" w:hAnsi="Times New Roman"/>
          <w:sz w:val="18"/>
          <w:szCs w:val="18"/>
          <w:color w:val="auto"/>
        </w:rPr>
      </w:pPr>
    </w:p>
    <w:p>
      <w:pPr>
        <w:ind w:left="1000" w:right="60" w:hanging="317"/>
        <w:spacing w:after="0" w:line="27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Volume-based revenue</w:t>
      </w:r>
      <w:r>
        <w:rPr>
          <w:rFonts w:ascii="Times New Roman" w:cs="Times New Roman" w:eastAsia="Times New Roman" w:hAnsi="Times New Roman"/>
          <w:sz w:val="18"/>
          <w:szCs w:val="18"/>
          <w:color w:val="auto"/>
        </w:rPr>
        <w:t>. Represents recurring fees associated with transaction count or dollar volumes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minimums. Generally, approximately half of our volume-based revenue is generated from provider solutions that are based on transaction count, with the other half from patient payments solutions that are based on either dollar volumes or transaction count.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also derive revenue from implementation fees for our software, as well as hardware sales to facilitate patient payments. Our implementation fees are billed upfront, and the revenue is recognized ratably over the contract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internal sales commissions, channel partner fees, travel, and advertising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incurred in our corporate service functions such as finance expenses, legal, human resources, and information technology, as well as other professional service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consist primarily of personnel costs for team members engaged in research and development activities as well as third-party fees. All such costs are expensed as incurred, except for capitalized software development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property and equipment and amortization of certain intangible assets, including capitalized software.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consists primarily of interest expense and related-party interest expense, inclusive of the impact of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includes current income tax and income tax credits from deferred taxes. Income tax benefit is recognized in profit and loss except to the extent that it relates to items recognized in equity or other comprehensive income, in which case the income tax expense is also recognized in equity or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2023 and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consolidated operating results for the periods indicated and percentage of revenue for each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1"/>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7"/>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 Change</w:t>
            </w:r>
          </w:p>
        </w:tc>
        <w:tc>
          <w:tcPr>
            <w:tcW w:w="4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943,549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791,010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704,874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86,136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315,730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34,876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(10,165)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819,824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33,503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(141,762)</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(198,309)</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(148,967)</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(49,342)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(6,358)</w:t>
            </w: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Income/(loss) before income</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(22,545)</w:t>
            </w: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(63,834)</w:t>
            </w: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(65,875)</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(14,420)</w:t>
            </w: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1"/>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8"/>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 Change</w:t>
            </w:r>
          </w:p>
        </w:tc>
        <w:tc>
          <w:tcPr>
            <w:tcW w:w="136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Volume-based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Revenue was $943.5 million for the year ended December 31, 2024 as compared to $791.0 million for the year ended December 31, 2023, an increase of $152.5 million, or 19.3%, of which $57.0 million was attributed to subscription revenue from new and existing clients, with $54.8 million generated by provider solutions, and $2.2 million generated from patient payments solutions. Another $93.6 million was attributed to volume-based revenue primarily related to expansion of existing client usage and acquired clients, of which $36.5 million was generated by provider solutions and $57.1 million by patient payments solutions.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Included within the revenue increases over the period is an estimated $34 million increase due to our heightened win rates above our historically high rates and accelerated implementation timelines as well as increased volume-based revenue from existing clients related to the cybersecurity incident involving one of our competitors in February 2024.</w:t>
      </w:r>
    </w:p>
    <w:p>
      <w:pPr>
        <w:spacing w:after="0" w:line="9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Revenue was $791.0 million for the year ended December 31, 2023 as compared to $704.9 million for the year ended December 31, 2022, an increase of $86.1 million, or 12.2%, of which $34.3 million was attributed to subscription revenue primarily from existing clients, with $31.9 million generated by provider solutions, and $2.4 million generated from patient payments solutions. Another $50.8 million was attributed to volume-based revenue primarily related to expansion of existing client usage and acquired clients, of which $20.9 million was generated by provider solutions and $29.9 million by patient payments solutions.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6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Cost of revenue was $315.7 million for the year ended December 31, 2024 as compared to $249.8 million for the year ended December 31, 2023, an increase of $66.0 million, or 26.4%. The increase was primarily driven by $52.3 million in increased costs stemming from higher transaction volume and associated third-party costs, including higher platform usage, of which approximately $13.1 million was from costs associated with provider solutions and $39.2 million from patient payments solutions. In addition, there was an $8.0 million increase in personnel costs and a $2.3 million increase in stock-based compensation expense primarily related to the recognition of performance condition options and new option and RSU grants related to the June IPO.</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was $249.8 million for the year ended December 31, 2023 as compared to $214.9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 increase of $34.9 million, or 16.2%. The increase was primarily driven by $28.5 million in increased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stemming from higher transaction volume and associated third-party costs, including higher platform usage, of which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was from costs associated with provider solutions and $19.0 million from patient payments solutions. In addition,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$4.6 million increase in personnel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was $156.9 million for the year ended December 31, 2024 as compared to $124.4 million for the year ended December 31, 2023, an increase of $32.5 million, or 26.1%. The increase was driven by an increase in channel partner fees and amortization of the internal sales commission deferred contract costs assets of $16.3 million associated with revenue growth. Additionally, there was an increase of $10.6 million in stock-based compensation expense related to the recognition of performance condition options and new option and RSU grants related to the June IPO.</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 was $124.4 million for the year ended December 31, 2023 as compared to $111.5 million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2022, an increase of $13.0 million, or 11.6%. The increase was primarily driven by an increase in channel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fees and internal commissions of $9.1 million, an increase in marketing expenses of $0.8 million and an increase in third-party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of $0.7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$111.8 million for the year ended December 31, 2024 as compared to $62.9 million for the year ended December 31, 2023, an increase of $48.8 million, or 77.6%. The increase was driven by a $26.3 million increase in stock-based compensation expense primarily related to the recognition of performance condition options and new option and RSU grants related to the June IPO. Additionally, there was an increase in third party fees of $14.1 million expensed as incurred, of which $10.3 million related to the debt modification related to the refinancing of the First Lien Credit Facility in February, $2.4 million related to the debt re-pricing in June, $1.3 million related to the debt re-pricing in December and $0.1 million relates to the payoff of the Second Lien Credit Facility in February.</w:t>
      </w:r>
    </w:p>
    <w:p>
      <w:pPr>
        <w:spacing w:after="0" w:line="10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$62.9 million for the year ended December 31, 2023 as compared to $73.1 million for the year ended December 31, 2022, a decrease of $10.2 million, or 13.9%. The decrease was primarily driven by an impairment expense recognized in 2022 related to leasehold improvements and right-of-use assets at closed office locations of $10.9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$48.8 million for the year ended December 31, 2024 as compared to $35.3 million for the year ended December 31, 2023, an increase of $13.4 million, or 38.0%. The increase was driven by higher personnel costs, net of capitalized expenses, of $7.3 million increase and increased third party consulting and engineering efforts. Additionally, there was increased stock-based compensation expense of $7.0 million primarily related to the recognition of performance condition options and new option and RSU grants related to the June IPO.</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$35.3 million for the year ended December 31, 2023 as compared to $32.8 million for the year ended December 31, 2022, an increase of $2.5 million, or 7.7%. The increase was primarily driven by higher personnel costs, net of capitalized expenses, of $1.5 million and increased third party consulting and engineering efforts, net of capitalized amounts, of $0.4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was $186.6 million for the year ended December 31, 2024, as compared to $176.5 million for the year ended December 31, 2023, an increase of $10.2 million, or 5.8%. Due to the relocation of one of our offices, we reduced the useful life of the related finance lease and leasehold improvement assets which represented $17.9 million of accelerated depreciation for the year ended December 31, 2024. This was offset by several intangibles fully matured in 2024, driving a decrease in intangible amortization.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was $176.5 million for the year ended December 31, 2023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$183.2 million for the year ended December 31, 2022, a decrease of $6.7 million, or 3.7%. The decrease was primarily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million of amortization in 2022 related to intangible assets that were fully amortized as of January 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Total interest expense was $146.3 million for the year ended December 31, 2024 as compared to $205.9 million for the year ended December 31, 2023, a decrease of $59.6 million, or 29.0%. The decrease was driven by the First Lien Credit Facility paydown during 2024 totaling $1.0 billion and the full paydown of the Second Lien Credit Facility.</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Total interest expense was $205.9 million for the year ended December 31, 2023 as compared to $155.3 million for the year ended December 31, 2022, an increase of $50.6 million, or 32.6%, of which $48.6 million was primarily related to higher interest expense driven by higher interest rates with respect to our First Lien Credit Facility and Second Lien Credit Facility, which is net of the impact of interest rate swaps.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$3.4 million for the year ended December 31, 2024, as compared to an income tax benefit of $12.5 million for the year ended December 31, 2023, a decrease of $9.1 million. The decrease was primarily driven by our net loss has decreased year over year, which is driven by a decrease in interest expense for the year ended December 31, 2024.</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Income tax benefit was $12.5 million for the year ended December 31, 2023 as compared to $14.4 million for the year ended December 31, 2022, a decrease of $1.9 million, or 13.3%. The decrease was primarily driven by decrease in pre-tax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present adjusted EBITDA, adjusted EBITDA margin, non-GAAP net income/(loss), and non-GAAP net income/(loss)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non-GAAP net income / (loss), and non-GAAP net income / (loss) per share are not recognized terms under GAAP and should not be considered as an alternative to net income (loss) or net income (loss) margin as measures of financial performance or cash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We define adjusted EBITDA as net loss before interest expense, net, income tax benefit, depreciation and amortization, and as further adjusted for stock-based compensation expense, acquisition and integration costs, asset and lease impairments, costs related to amended debt agreements, and IPO related costs. Adjusted EBITDA margin represents adjusted EBITDA as a percentage of revenue.</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and net loss margin to adjusted EBITDA margin for the years ended December 31, 2024, 2023 and 2022:</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9"/>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205,917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and lease impairments (b)</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IPO related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333,715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943,549</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791,010</w:t>
            </w:r>
          </w:p>
        </w:tc>
        <w:tc>
          <w:tcPr>
            <w:tcW w:w="1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704,874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income/(loss) margin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due to the relocation of our Louisville office.</w:t>
      </w:r>
    </w:p>
    <w:p>
      <w:pPr>
        <w:spacing w:after="0" w:line="24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of the impairment expense recognized related to leasehold improvements and right-of-use assets at closed office locations.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 (Loss) and Non-GAAP Net Income / (Loss) Per Share</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define non-GAAP net income as GAAP net income excluding the impact of stock-based compensation, acquisition and integration costs, asset and lease impairments, IPO related costs, costs related to amended debt agreements and amortization of intangibles. We updated the definition of non-GAAP net income to include amortization of intangibles to align with a more common definition used by our peers. We have revised prior year disclosures to align with this updated definition. The tax effects of the adjustments are calculated using a management estimated annual effective non-GAAP tax rate of 21%.</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Non-GAAP net income / (loss) per share is shown on both a basic and diluted basis and is defined as non-GAAP net income / (loss) divided by the basic or diluted weighted-average shares, respectively.</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to non-GAAP net income / (loss) and non-GAAP net income / (loss) per share for the years ended December 31, 2024,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and lease impairments (b)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IPO related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(39,979)</w:t>
            </w: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Non-GAAP net income/(loss)</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169,611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98,942</w:t>
            </w:r>
          </w:p>
        </w:tc>
        <w:tc>
          <w:tcPr>
            <w:tcW w:w="0" w:type="dxa"/>
            <w:vAlign w:val="bottom"/>
          </w:tcPr>
          <w:p>
            <w:pPr>
              <w:spacing w:after="0"/>
              <w:rPr>
                <w:sz w:val="1"/>
                <w:szCs w:val="1"/>
                <w:color w:val="auto"/>
              </w:rPr>
            </w:pPr>
          </w:p>
        </w:tc>
      </w:tr>
      <w:tr>
        <w:trPr>
          <w:trHeight w:val="197"/>
        </w:trPr>
        <w:tc>
          <w:tcPr>
            <w:tcW w:w="100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income/(loss)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149,915,839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121,675,430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121,684,771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155,677,094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126,888,989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126,504,566</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of $1.6 million and accelerated depreciation of $17.9 million due to the relocation of our Louisville office.</w:t>
      </w:r>
    </w:p>
    <w:p>
      <w:pPr>
        <w:spacing w:after="0" w:line="24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of the impairment expense recognized related to leasehold improvements and right-of-use assets at closed office locations.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regularly monitor and review our Net Revenue Retention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Revenue Retention Rate for December 31, 2024, 2023 and 2022, respectively:</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6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 month Net Revenue Retention Rate in the ninth quarter after acquisition, which is the earliest point that comparable post-acquisition invoices are available for both the current and prior twelve-month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Count with &gt;$100,000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regularly monitor and review our count of clients who generate more than $100,000 of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count of clients who generate more than $100,000 of revenue for the periods presented:</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(For the 12 month period ended)</w:t>
            </w:r>
          </w:p>
        </w:tc>
        <w:tc>
          <w:tcPr>
            <w:tcW w:w="23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6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Count with &gt; $100,000 Revenue</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Part I, Item 1A, “Risk Factors” in this report.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December 31, 2024 and 2023, we had restricted cash of $22.4 million and $9.8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spacing w:after="0" w:line="180"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liquidity is influenced by many factors, including timing of revenue and corresponding cash collections, the amount and timing of investments in strategic initiatives, our investments in property, equipment, and software, as well as other factors described under Part I, Item 1A, “Risk Factors” in this report. Depending on the severity and direct impact of these factors on us, we may not be able to secure additional financing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years ended December 31, 2024, 2023 and 2022, are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2700" w:type="dxa"/>
            <w:vAlign w:val="bottom"/>
            <w:tcBorders>
              <w:bottom w:val="single" w:sz="8" w:color="auto"/>
            </w:tcBorders>
            <w:gridSpan w:val="7"/>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200" w:type="dxa"/>
            <w:vAlign w:val="bottom"/>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 vs 2022 Change</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7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$ 169,768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$ 118,308</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(51,174)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2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(44,084)</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$ 159,154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$ 186,362</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(45,344)</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$169.8 million for the year ended December 31, 2024 as compared to $51.5 million for the year ended December 31, 2023. This increase was largely driven by the changes in working capital, increases in revenue and profits, and decreases in the cash paid for interest due to the multiple paydowns on our First Lien Credit Facility in 2024.</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$51.5 million for the year ended December 31, 2023 as compared to $102.6 million for the year ended December 31, 2022. The decrease was primarily driven by the change in deferred income taxes and income tax receivable resulting in a decrease of $43.4 million and by an impairment expense of $10.9 million recognized in 2022 related to leasehold improvements and right-of-use assets at closed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$27.3 million for the year ended December 31, 2024 as compared to $61.5 million for the year ended December 31, 2023. Cash flows used in investing activities decreased due to the $40.0 million of cash used in the 2023 acquisitions of HealthPay24 and certain assets of Olive AI (see Part II, Item 8, “Financial Statements—Note 6”).</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$61.5 million for the year ended December 31, 2023 as compared to $17.4 million for the year ended December 31, 2022. Cash flows used in investing activities increased in 2023 relative to 2022 as we used $40.0 million for acquisitions completed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were $16.7 million for the year ended December 31, 2024 as compared to cash flows used of $17.2 million for the year ended December 31, 2023. The increase was due to the proceeds from our IPO net of third-party IPO issuance costs (see Part II, Item 8, “Financial Statements—Note 1”), as well as the issuance of debt, net of creditor fees (see Part II, Item 8, “Financial Statements—Note 11). These increases were offset by increased payments on our debt compared to the prior period (see Part II, Item 8, “Financial Statements—Note 11”).</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were $17.2 million for the year ended December 31, 2023 as compared to $67.1 million for the year ended December 31, 2022. Cash flows used in financing activities decreased in 2023 relative to 2022 primarily due to the $47.0 million partial pay down in principal of the Second Lien Credit Facility in April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Credit Facilities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indirect wholly-owned subsidiary, Waystar Technologies, Inc., a Delaware corporation (the “Borrower”), is the Borrower under a first lien credit agreement, dated as of October 22, 2019 (as amended from time to time, the “First Lien Credit Agreement”), that initially provided for an $825.0 million senior secured first lien term loans and commitments under a revolving credit facility in an aggregate principal amount of $125.0 million, with a sub-commitment for issuance of letters of credit of $25.0 million. The initial first lien term loans are scheduled to mature on October 22, 2026 and commitments under the revolving credit facility and the loans thereunder were initially scheduled to terminate and mature on October 22, 2024.</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 2019, the Borrower and certain lenders amended the First Lien Credit Agreement to add 2019 first lien incremental term loans in the amount of $100.0 million to be used for certain acquisitions consummated substantially simultaneously with the closing of such amendment. The terms of such 2019 first lien incremental term loans were the same as the terms of the initial first lien term loans, including in respect of maturity, and were considered an increase in the aggregate principal amount of the initial first lien term loans outstanding under the First Lien Credit Agreement and were part of the initial first lien term loans.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September 23, 2020, the Borrower and certain lenders amended the First Lien Credit Agreement to (i) add 2020 first lien incremental term loans in the amount of $620.0 million to be used for certain acquisitions consummated substantially simultaneously with the closing of such amendment and (ii) add revolving credit commitments in the amount of $75.0 million to increase the revolving credit commitments available under the First Lien Credit Agreement to $200.0 million. Such 2020 first lien incremental term loans constituted a separate class of first lien term loans from the initial first lien term loans but were otherwise on the same as the terms of the initial first lien term loans (other than with respect to the “LIBOR-floor” applicable thereto).</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March 24, 2021, the Borrower and certain lenders amended the First Lien Credit Agreement to (i) reduce the “LIBOR-floor” applicable to the 2020 first lien incremental term loans and (ii) in connection therewith, combine the initial first lien term loans with the 2020 first lien incremental term loans which thereafter then constituted one class of first lien term loans.</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August 24, 2021, the Borrower and certain lenders amended the First Lien Credit Agreement to add 2021 first lien incremental term loans in the amount of $247.0 million to be used for certain acquisitions consummated substantially simultaneously with the closing of such amendment. The terms of such 2021 first lien incremental term loans were the same as the terms of the initial first lien term loans outstanding at such time, including in respect of maturity, and were considered an increase in the aggregate principal amount of the initial first lien term loans outstanding under the First Lien Credit Agreement at such time and were part of the initial first lien term loans.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June 1, 2023, the Borrower and certain lenders amended the First Lien Credit Agreement to replace all LIBOR-based interest rates applicable to borrowings under the revolving credit facility with a Term SOFR-based rate plus a credit spread adjustment of 0.11%.</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June 23, 2023, the Borrower and certain lenders amended the First Lien Credit Agreement to replace all LIBOR-based interest rates applicable to the first lien term loans with a Term SOFR-based rate plus a credit spread adjustment of 0.11%.</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6, 2023, the Borrower and certain lenders amended the First Lien Credit Agreement to, among others, (i) increase the revolving credit commitments under the First Lien Credit Agreement by $142.5 million to a total of $342.5 million, with a sub-commitment for issuance of letters of credit of $50.0 million, (ii) amend the applicable margin with respect thereto upon the consummation of a qualifying initial public offering, and (iii) extend the availability period of such revolving credit commitments and the maturity date of loans thereunder from October 22, 2024 to October 6, 2028;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prior to October 6, 2028, either (i) on the date that is 91 days prior to the maturity date of the first lien term loans (or any loans refinancing such first lien term loans), more than $150.0 million of such first lien term loans (or any such loans refinancing such first lien term loans) are outstanding or (ii) on the date that is 91 days prior to the maturity date of the second lien term loans under the Second Lien Credit Facility (or any loans refinancing such second lien term loans), any such second lien term loans (or any such loans refinancing such second lien term loans) are outstanding, the commitments under the revolving credit facility and the loans thereunder will terminate and mature on such date (the “Springing Maturity Condition”). The revolving credit commitments as increased by the amendment replaced the existing revolving credit commitments under the First Lien Credit Agreement.</w:t>
      </w:r>
    </w:p>
    <w:p>
      <w:pPr>
        <w:spacing w:after="0" w:line="190"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On February 9, 2024, the Borrower and certain lenders amended the First Lien Credit Agreement to, among others, (i) increase the total First Lien Credit Facility term loan balance to $2.2 billion, $449.6 million of which was utilized to pay off the remaining principal and interest on the Second Lien Credit Facility, and (ii) extend the maturity date of the First Lien Credit Facility to October 22, 2029. As of February 9, 2024, the effective interest rate under the First Lien Credit Facility was 4.00% per annum above the SOFR rate.</w:t>
      </w:r>
    </w:p>
    <w:p>
      <w:pPr>
        <w:spacing w:after="0" w:line="16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June 27, 2024, the Borrower and certain lenders amended the First Lien Credit Agreement to, among other things, reprice the outstanding balance bearing an interest rate of 2.75% per annum above the SOFR rate with a minimum base of 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30, 2024, the Borrower and certain lenders amended the First Lien Credit Agreement to, among other things,</w:t>
      </w:r>
    </w:p>
    <w:p>
      <w:pPr>
        <w:spacing w:after="0" w:line="27" w:lineRule="exact"/>
        <w:rPr>
          <w:sz w:val="20"/>
          <w:szCs w:val="20"/>
          <w:color w:val="auto"/>
        </w:rPr>
      </w:pPr>
    </w:p>
    <w:p>
      <w:pPr>
        <w:ind w:right="420" w:firstLine="8"/>
        <w:spacing w:after="0" w:line="265" w:lineRule="auto"/>
        <w:tabs>
          <w:tab w:leader="none" w:pos="2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fully refinance the Borrower’s $1,166,772,750 aggregate outstanding principal amount of term loans under the Existing </w:t>
      </w:r>
      <w:r>
        <w:rPr>
          <w:rFonts w:ascii="Times New Roman" w:cs="Times New Roman" w:eastAsia="Times New Roman" w:hAnsi="Times New Roman"/>
          <w:sz w:val="17"/>
          <w:szCs w:val="17"/>
          <w:color w:val="212529"/>
        </w:rPr>
        <w:t>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Agreement with replacement term loans bearing reduced interest at a rate per annum equal to, at the election of the Borrower, either</w:t>
      </w:r>
    </w:p>
    <w:p>
      <w:pPr>
        <w:ind w:right="140" w:firstLine="8"/>
        <w:spacing w:after="0" w:line="251" w:lineRule="auto"/>
        <w:tabs>
          <w:tab w:leader="none" w:pos="235" w:val="left"/>
        </w:tabs>
        <w:numPr>
          <w:ilvl w:val="0"/>
          <w:numId w:val="4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Adjusted Term SOFR (as defined in the First Lien Credit Agreement) subject to a floor of 0.00%, plus an applicable rate of 2.25% (compared to the previous applicable rate of 2.75%) or (b) the Alternate Base Rate (as defined in the First Lien Credit Agreement) subject to a floor of 1.00%, plus an applicable rate of 1.25% (compared to the previous applicable rate of 1.75%), (ii) increase the maximum borrowing capacity under the Revolving Credit Facility from $342.5 million to $400.0 million and (iii) reduce the interest rates under the Revolving Credit Facility to (a) Adjusted Term SOFR, plus an initial applicable rate of 1.75% (compared to the previous applicable rate of 2.25%) with adjustments to an applicable rate between 1.75% and 2.50% and (b) the Alternate Base Rate, plus an initial applicable rate of 0.75% (compared to the previous applicable rate of 1.25%) with adjustments to an applicable rate between 0.75% and 1.50%. Such adjustments will depend on the achievement of certain leverage ratios specified in the First Lien Credit Agreement.</w:t>
      </w:r>
    </w:p>
    <w:p>
      <w:pPr>
        <w:spacing w:after="0" w:line="1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All obligations under the First Lien Credit Agreement are unconditionally guaranteed on a senior first lien priority basis by, subject to certain exceptions, the Borrower and each of the Borrower’s existing and subsequently acquired or organized direct or indirect wholly owned restricted subsidiaries organized in the United States. Additionally, the obligations under First Lien Credit Agreement and such guarantees are secured on a first lien priority basis, subject to certain exceptions and excluded assets, by (i) the equity securities of the Borrower and of each subsidiary guarantor and (ii) security interests in, and mortgages on, substantially all personal property and material owned real property by the Borrower and each subsidiary guarantor.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Borrowings under the First Lien Credit Agreement currently bear interest at a rate per annum equal to, at the option of the Borrower, either (i) (x) the Term SOFR rate for the applicable interest period, with a floor of 0.00%, plus (y) an applicable margin rate of, for the first lien term loans, between 3.75% and 3.50% and, for loans under the revolving credit facility, between 3.00% and 2.25%, in each case, depending on the applicable first lien leverage ratio or (ii) (x) an alternate base rate (“ABR”), with a floor of 1.00%, plus</w:t>
      </w:r>
    </w:p>
    <w:p>
      <w:pPr>
        <w:spacing w:after="0" w:line="3" w:lineRule="exact"/>
        <w:rPr>
          <w:sz w:val="20"/>
          <w:szCs w:val="20"/>
          <w:color w:val="auto"/>
        </w:rPr>
      </w:pPr>
    </w:p>
    <w:p>
      <w:pPr>
        <w:ind w:right="20" w:firstLine="8"/>
        <w:spacing w:after="0" w:line="250"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applicable margin rate of, for the first lien term loans, between 2.75% and 2.50% and, for loans under the revolving credit facility, between 2.00% and 1.25%, in each case, depending on the applicable first lien leverage ratio (with the ABR determined as the greatest of</w:t>
      </w: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(b) the federal funds effective rate plus 0.50%, and (c) the Term SOFR rate plus 1.00%).</w:t>
      </w:r>
    </w:p>
    <w:p>
      <w:pPr>
        <w:spacing w:after="0" w:line="1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first lien term loans and the revolving credit facility, the Borrower is required to pay a commitment fee, payable quarterly in arrears, of 0.375% per annum on the average daily unused portion of the revolving credit facility, with step-down to 0.25% per annum, in each case, on such portion upon achievement of certain first lien leverage ratios. The Borrower must also pay customary letter of credit issuance and participation fees and other customary fees and expenses of the letter of credit issuers.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is required to repay installments on the first lien term loans in quarterly principal amounts equal to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on the last business day of each March, June, September, and December of each year, with the balance 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2029. Additionally, the entire principal amount of revolving loans outstanding (if any) under the revolving credit facility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and payable in full at maturity on October 6, 2028, subject to the Springing Maturity Condition, on which day the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thereunder will terminate.</w:t>
      </w:r>
    </w:p>
    <w:p>
      <w:pPr>
        <w:spacing w:after="0" w:line="12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Borrower is required, subject to certain exceptions, to pay outstanding amounts of the first lien term loan, (i) with 50% of excess cash flow, with step-downs upon achievement of certain first lien net leverage ratios, (ii) with 100% of the net cash proceeds of all non-ordinary course asset sales by the Borrower and its restricted subsidiaries, subject to customary reinvestment right, and (iii) with 100% of the net cash proceeds of issuances of debt obligations of the Borrower and its restricted subsidiaries, other than permitted debt. Additionally, the Borrower may voluntarily repay outstanding loans under the first lien term loan and the revolving credit facility at any time without premium or penalty. In addition, the Borrower may elect to permanently terminate or reduce all or a portion of the revolving credit commitments and the letter of credit sub-limit under the revolving credit facility at any time without premium or penalty.</w:t>
      </w:r>
    </w:p>
    <w:p>
      <w:pPr>
        <w:spacing w:after="0" w:line="9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First Lien Credit Agreement also includes customary representations, warranties, covenants, and events of default (with customary grace periods, as applicable).</w:t>
      </w:r>
    </w:p>
    <w:p>
      <w:pPr>
        <w:spacing w:after="0" w:line="6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$1,164 million of outstanding borrowings on the first lien term loan and $400 million of availability under the revolving credit facility under the First Lien Credit Agreement, and outstanding letters of credit of $0 million under the First Lien Credit Agreement. As of December 31, 2024 and 2023, we were in compliance with the covenants under the First Lien Credit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Credit Facilities</w:t>
      </w:r>
    </w:p>
    <w:p>
      <w:pPr>
        <w:spacing w:after="0" w:line="1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indirect wholly-owned subsidiary, Waystar Technologies, Inc., a Delaware corporation (the “Borrower”), is the Borrower under a second lien credit agreement, dated as of October 22, 2019 (as amended from time to time, the “Second Lien Credit Agreement”), that initially provided for a second lien term loan of $255.0 million. On September 23, 2020, we increased the second lien term loan by an incremental $190.0 million (“2020 Incremental Second Lien Term Loan”) to a total of $445.0 million. On August 24, 2021, we increased the second lien term loan by an incremental $70.0 million to a total of $515.0 million in conjunction with the acquisition of Patientco (“2021 Incremental Second Lien Term Loan”). We refer to the term loan facilities under the Second Lien Credit Agreement as the “Second Lien Credit Facility.” The Second Lien Credit Facility matures on October 21, 2027. On June 27, 2023, we amended the Second Lien Credit Agreement to replace all LIBOR-based interest rates applicable to the second lien term loans with a Term SOFR-based rate plus a credit spread adjustment of 0.11%. On February 9, 2024, we utilized proceeds from the amended First Lien Credit Facility to paydown the remaining principal and interest on the Second Lien Credit Facility.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Facility</w:t>
      </w:r>
    </w:p>
    <w:p>
      <w:pPr>
        <w:spacing w:after="0" w:line="1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August 13, 2021, the Borrower, as servicer, and Waystar RC LLC, a wholly-owned “bankruptcy remote” special purpose vehicle, as “Receivables Borrower”, entered into a receivables financing agreement (the “Receivables Financing Agreement”), providing for an aggregate borrowing of up to $50 million. Loans under the Receivables Financing Agreement mature on August 13, 2024. Borrowings under the Receivables Financing Agreement accrue interest at a rate per annum of, at the option of the Receivables Borrower, either Term SOFR or base rate plus 2.00%. All amounts outstanding under the Receivables Financing Agreement are collateralized by substantially all of the accounts receivables and unbilled revenue of the Receivables Borrower. On October 31, 2023, the Borrower and Receivables Borrower amended the Receivables Financing Agreement to increase the aggregate borrowing availability to up to $80 million and extend the maturity date to October 30, 2026. On September 6, 2024, we drew $10.0 million on the Receivables Facility and used the proceeds to paydown $10.0 million on the First Lien Credit Facility.</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Receivables Financing Agreement, eligible accounts receivable of certain of our subsidiaries are sold to the Receivables Borrower. The Receivables Borrower pledges the receivables as security for loans. The accounts receivable owned by the Receivables Borrower are separate and distinct from our other assets and are not available to our other creditors should we become insolvent.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Receivables Financing Agreement also contains customary representations, warranties, covenants, and default provisions.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Receivables Borrower had $80 million in outstanding borrowings under the Receivables Financing Agreement. As of December 31, 2024 and 2023, we were in compliance with the covenants under the Receivables Financing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Our significant accounting policies are described in Note 2, “Significant Accounting Policies,” of the accompanying consolidated financial statements included elsewhere in this report.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 We consider the following policies to be the most critical in understanding the judgments that are involved in preparing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for each performance obligation upon transfer of control of the software solutions to the client in an amount that reflects the consideration we expect to receive. Revenues are recognized net of any taxes collected from clients and subsequently remitted to governmental authorities.</w:t>
      </w:r>
    </w:p>
    <w:p>
      <w:pPr>
        <w:spacing w:after="0" w:line="17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time-elapsed output method based on the volume or transaction count at the time the clients’ transactions are processed.</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Goodwill and long-lived assets comprise 88.7% of our total assets as of December 31, 2024. Goodwill represents the excess of consideration paid over the estimated fair value of the net intangible and identifiable intangible assets acquired in business combinations. We evaluate goodwill for impairment annually on October 1st or whenever there is an impairment indicator. Potential impairment indicators may include, but are not limited to, the results of our most recent annual or interim impairment testing, downward revisions to internal forecasts, macroeconomic conditions, industry and market considerations, cost factors, overall financial performance, changes in management and key personnel, changes in composition or carrying amount of net assets, and changes in share price.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ASC Topic 350, Intangibles — Goodwill and Other (“ASC 350”), allows entities to first use a qualitative approach to test goodwill for impairment by determining whether it is more likely than not (a likelihood of greater than 50%) that the fair value of a reporting unit is less than its carrying value. If the qualitative assessment supports that it is more likely than not that the fair value of the asset exceeds its carrying value, a quantitative impairment test is not required. If the qualitative assessment indicates that it is more likely than not that the fair value of the asset does not exceed its carrying value, we will perform the quantitative goodwill impairment test, in which we compare the fair value of the reporting unit to the respective carrying value, which includes goodwill. If the fair value of the reporting unit exceeds its carrying value, then goodwill is not considered impaired. If the carrying value is higher than the fair value, the difference would be recognized as an impairment loss.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which is defined as an operating segment or one level below an operating segment (referred to as a component). Our single operating segment is also our single reporting unit as we do not have segment managers and there is no discrete information reviewed at a level lower than the consolidated entity level. All of our assets and liabilities are assigned to this single reporting unit.</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our annual goodwill impairment test during the year ended December 31, 2023, we elected to perform a qualitative assessment. Our assessment of relevant events and circumstances was designed to indicate whether it is more likely than not that the fair value of a reporting unit is less than its carrying amount. The assessment considered whether or not we observed changes in market conditions within the industry and macroeconomy, changes in cost factors which could result in a negative effect on earnings or financial performance of the reporting unit, such as negative or declining cash flows compared to prior period results, and other entity-specific events or conditions impacting the reporting unit. There were no indicators that it was more likely than not that the fair value of the asset did not exceed its carrying value. In connection with our goodwill impairment testing performed as of December 31, 2024, 2023, and 2022, we concluded that there was no impairment to goodwill.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Prior assessments have indicated that the fair value exceeds the carrying value for the reporting unit with reasonable headroom and no indication of impairment. However, we elect to perform a goodwill impairment test utilizing a quantitative approach every fourth year in order to calculate a new fair value “base” to which future qualitative tests can be compared. Our most recent quantitative assessment was performed as of October 1, 2024. We utilized both an income approach and market approach to calculate a fair value of our single reporting unit, Waystar, and compared that value to the company’s carrying value as of October 1, 2024. As a result of this analysis, our fair value under each method exceeded our carrying value and therefore, no impairment was recorded.</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amortized over their useful lives. We evaluate the remaining useful life of long-lived assets periodically to determine if events or changes in circumstances warrant a revision to the remaining period of amortization. The carrying amounts of these assets are reviewed for impairment whenever events or changes in circumstances indicate that the carrying value of these assets may not be recoverable. We measure the recoverability of these assets by comparing the carrying amount of the asset group to the future undiscounted cash flows the assets are expected to generate. If the undiscounted cash flows used in the test for recoverability are less than the carrying amount of the asset group, then the carrying amount of such assets is reduced to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Part II, Item 8, “Financial Statements—Note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Election</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Qualitative and Quantitative Disclosures About Market Risk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in the normal course of our business. Such risks are principally associated with credit risk and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is related to our First Lien Credit Facility, which bears interest at SOFR plus 2.25% as of December 31, 2024. A hypothetical 100 basis point increase or decrease in the current effective rate would have an impact on our interest expense of approximately $17.3 million for the year ended December 31, 2024.</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order to limit exposure to risk, we maintain derivative instruments with creditworthy institutions to hedge against changing interest rate fluctuations. We utilize interest rate swap contracts and other non- derivative hedging instruments to manage such risk.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Indianapolis, Indiana, Auditor Firm ID: 185)</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December 31, 2023</w:t>
            </w:r>
          </w:p>
        </w:tc>
        <w:tc>
          <w:tcPr>
            <w:tcW w:w="36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December 31, 2023 and December 31, 2022</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2024, December 31, 2023 and December 31,</w:t>
            </w: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w:t>
            </w:r>
          </w:p>
        </w:tc>
        <w:tc>
          <w:tcPr>
            <w:tcW w:w="140" w:type="dxa"/>
            <w:vAlign w:val="bottom"/>
            <w:tcBorders>
              <w:top w:val="single" w:sz="8" w:color="0000EE"/>
            </w:tcBorders>
            <w:shd w:val="clear" w:color="auto" w:fill="CCEEFF"/>
          </w:tcPr>
          <w:p>
            <w:pPr>
              <w:spacing w:after="0"/>
              <w:rPr>
                <w:sz w:val="17"/>
                <w:szCs w:val="17"/>
                <w:color w:val="auto"/>
              </w:rPr>
            </w:pPr>
          </w:p>
        </w:tc>
        <w:tc>
          <w:tcPr>
            <w:tcW w:w="162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0000EE"/>
            </w:tcBorders>
            <w:shd w:val="clear" w:color="auto" w:fill="CCEEFF"/>
          </w:tcPr>
          <w:p>
            <w:pPr>
              <w:spacing w:after="0"/>
              <w:rPr>
                <w:sz w:val="17"/>
                <w:szCs w:val="17"/>
                <w:color w:val="auto"/>
              </w:rPr>
            </w:pPr>
          </w:p>
        </w:tc>
        <w:tc>
          <w:tcPr>
            <w:tcW w:w="1440" w:type="dxa"/>
            <w:vAlign w:val="bottom"/>
            <w:tcBorders>
              <w:top w:val="single" w:sz="8" w:color="0000EE"/>
            </w:tcBorders>
            <w:shd w:val="clear" w:color="auto" w:fill="CCEEFF"/>
          </w:tcPr>
          <w:p>
            <w:pPr>
              <w:spacing w:after="0"/>
              <w:rPr>
                <w:sz w:val="17"/>
                <w:szCs w:val="17"/>
                <w:color w:val="auto"/>
              </w:rPr>
            </w:pPr>
          </w:p>
        </w:tc>
        <w:tc>
          <w:tcPr>
            <w:tcW w:w="32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2024, December 31, 2023 and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2022</w:t>
            </w:r>
          </w:p>
        </w:tc>
        <w:tc>
          <w:tcPr>
            <w:tcW w:w="300" w:type="dxa"/>
            <w:vAlign w:val="bottom"/>
            <w:gridSpan w:val="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December 31, 2023 and December 31, 2022</w:t>
            </w:r>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Waystar Holding Corp. and subsidiaries (the Company) as of December 31, 2024 and December 31, 2023, the related consolidated statements of operations, comprehensive loss, changes in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2"/>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182,133</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35,580</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9,848</w:t>
            </w:r>
          </w:p>
        </w:tc>
      </w:tr>
      <w:tr>
        <w:trPr>
          <w:trHeight w:val="18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of $5,885 as of December 31, 2024 and $5,335 as of December</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31, 2023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126,089</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receivable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13,296</w:t>
            </w:r>
          </w:p>
        </w:tc>
      </w:tr>
      <w:tr>
        <w:trPr>
          <w:trHeight w:val="203"/>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30,426</w:t>
            </w:r>
          </w:p>
        </w:tc>
      </w:tr>
      <w:tr>
        <w:trPr>
          <w:trHeight w:val="19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222,050</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61,259</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10,353</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1,186,936</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3,019,999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3,030,013</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costs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65,811</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w:t>
            </w:r>
          </w:p>
        </w:tc>
      </w:tr>
      <w:tr>
        <w:trPr>
          <w:trHeight w:val="196"/>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4,577,004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4,582,974</w:t>
            </w:r>
          </w:p>
        </w:tc>
      </w:tr>
      <w:tr>
        <w:trPr>
          <w:trHeight w:val="19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47,365</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45,484</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23,286</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Aggregated funds payable</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10,923</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17,454</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current portion of long-term debt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196"/>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123,489</w:t>
            </w:r>
          </w:p>
        </w:tc>
      </w:tr>
      <w:tr>
        <w:trPr>
          <w:trHeight w:val="20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174,480</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 net, less current portion</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2,134,920</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Related party long-term debt, net, less current portion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64,758</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14,278</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revenue–LT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r>
      <w:tr>
        <w:trPr>
          <w:trHeight w:val="203"/>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19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2,533,042</w:t>
            </w:r>
          </w:p>
        </w:tc>
      </w:tr>
      <w:tr>
        <w:trPr>
          <w:trHeight w:val="19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9"/>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- 100,000,000 and zero shares authorized as of December 31, 2024 and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6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2023, respectively; zero shares issued and outstanding as of December 31, 2024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6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$0.01 par value - 2,500,000,000 and 227,000,000 shares authorized as of December 31,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2"/>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2024 and December 31, 2023, respectively; 172,108,240 and 121,679,902 shares issued and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as of December 31, 2024 and December 31, 2023, respectively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3,298,083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2,234,688</w:t>
            </w:r>
          </w:p>
        </w:tc>
      </w:tr>
      <w:tr>
        <w:trPr>
          <w:trHeight w:val="203"/>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15,802</w:t>
            </w:r>
          </w:p>
        </w:tc>
      </w:tr>
      <w:tr>
        <w:trPr>
          <w:trHeight w:val="20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(220,900)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(201,775)</w:t>
            </w:r>
          </w:p>
        </w:tc>
      </w:tr>
      <w:tr>
        <w:trPr>
          <w:trHeight w:val="196"/>
        </w:trPr>
        <w:tc>
          <w:tcPr>
            <w:tcW w:w="6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3,079,786</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2,049,932</w:t>
            </w:r>
          </w:p>
        </w:tc>
      </w:tr>
      <w:tr>
        <w:trPr>
          <w:trHeight w:val="196"/>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4,577,004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4,582,974</w:t>
            </w: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(141,762)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(198,309)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(148,967)</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(7,608)</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(14,420)</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121,675,430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121,684,771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121,675,430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121,684,771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r>
      <w:tr>
        <w:trPr>
          <w:trHeight w:val="209"/>
        </w:trPr>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30,327</w:t>
            </w:r>
          </w:p>
        </w:tc>
      </w:tr>
      <w:tr>
        <w:trPr>
          <w:trHeight w:val="210"/>
        </w:trPr>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r>
      <w:tr>
        <w:trPr>
          <w:trHeight w:val="20"/>
        </w:trPr>
        <w:tc>
          <w:tcPr>
            <w:tcW w:w="2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2" w:lineRule="exact"/>
        <w:rPr>
          <w:sz w:val="20"/>
          <w:szCs w:val="20"/>
          <w:color w:val="auto"/>
        </w:rPr>
      </w:pPr>
    </w:p>
    <w:p>
      <w:pPr>
        <w:ind w:right="40" w:firstLine="8"/>
        <w:spacing w:after="0" w:line="261" w:lineRule="auto"/>
        <w:tabs>
          <w:tab w:leader="none" w:pos="3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reclassified out of accumulated other comprehensive loss into net interest expense included $29,175, $31,386, and $5,244 for the years ended December 31, 2024, 2023, and 2022, respectively.</w:t>
      </w:r>
    </w:p>
    <w:p>
      <w:pPr>
        <w:spacing w:after="0" w:line="162" w:lineRule="exact"/>
        <w:rPr>
          <w:rFonts w:ascii="Times New Roman" w:cs="Times New Roman" w:eastAsia="Times New Roman" w:hAnsi="Times New Roman"/>
          <w:sz w:val="14"/>
          <w:szCs w:val="14"/>
          <w:color w:val="auto"/>
        </w:rPr>
      </w:pPr>
    </w:p>
    <w:p>
      <w:pPr>
        <w:ind w:right="120" w:firstLine="8"/>
        <w:spacing w:after="0" w:line="261" w:lineRule="auto"/>
        <w:tabs>
          <w:tab w:leader="none" w:pos="3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effects of amounts reclassified out of accumulated other comprehensive loss were ($7,084), ($7,620) and ($1,287) for the years ended December 31, 2024, 2023, and 2022,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9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6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121,679,902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$ 2,234,688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(201,775)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$ 2,049,932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 of common stock options, net of stock</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 exercises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392,016</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(22,688)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distributions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initial public offering</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(inclusive of underwriters’ exercise of the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overallotment option on July 5, 2024), net of</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50,059,010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1,008,217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172,108,240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$ 3,298,083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(220,900)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$ 3,079,786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9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6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121,670,948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$ 2,225,618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(150,441)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$ 2,106,232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 of common stock options, net of stock</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 exercises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(17,314)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subscriptions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(14,036)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121,679,902</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$ 1,217</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$ 2,234,688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(201,775)</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$ 2,049,932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9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6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121,714,347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$ 2,219,423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(98,986)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$ 2,121,165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 of common stock options, net of stock</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 exercises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(73,922)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subscriptions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(51,455)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121,670,948</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$ 1,217</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$ 2,225,618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(150,441)</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$ 2,106,232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(19,125)</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(51,334)</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(51,455)</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income/(loss) to net cash provided by operating activities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176,467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183,167</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w:t>
            </w: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loss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(61,665)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10,260</w:t>
            </w: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(16,714)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tax refundable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(2,459)</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0" w:type="dxa"/>
            <w:vAlign w:val="bottom"/>
          </w:tcPr>
          <w:p>
            <w:pPr>
              <w:spacing w:after="0"/>
              <w:rPr>
                <w:sz w:val="1"/>
                <w:szCs w:val="1"/>
                <w:color w:val="auto"/>
              </w:rPr>
            </w:pPr>
          </w:p>
        </w:tc>
      </w:tr>
      <w:tr>
        <w:trPr>
          <w:trHeight w:val="203"/>
        </w:trPr>
        <w:tc>
          <w:tcPr>
            <w:tcW w:w="6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(9,705)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costs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(14,189)</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(17,380)</w:t>
            </w:r>
          </w:p>
        </w:tc>
        <w:tc>
          <w:tcPr>
            <w:tcW w:w="0" w:type="dxa"/>
            <w:vAlign w:val="bottom"/>
          </w:tcPr>
          <w:p>
            <w:pPr>
              <w:spacing w:after="0"/>
              <w:rPr>
                <w:sz w:val="1"/>
                <w:szCs w:val="1"/>
                <w:color w:val="auto"/>
              </w:rPr>
            </w:pPr>
          </w:p>
        </w:tc>
      </w:tr>
      <w:tr>
        <w:trPr>
          <w:trHeight w:val="203"/>
        </w:trPr>
        <w:tc>
          <w:tcPr>
            <w:tcW w:w="6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(1,664)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0" w:type="dxa"/>
            <w:vAlign w:val="bottom"/>
          </w:tcPr>
          <w:p>
            <w:pPr>
              <w:spacing w:after="0"/>
              <w:rPr>
                <w:sz w:val="1"/>
                <w:szCs w:val="1"/>
                <w:color w:val="auto"/>
              </w:rPr>
            </w:pPr>
          </w:p>
        </w:tc>
      </w:tr>
      <w:tr>
        <w:trPr>
          <w:trHeight w:val="203"/>
        </w:trPr>
        <w:tc>
          <w:tcPr>
            <w:tcW w:w="6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(1,691)</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03"/>
        </w:trPr>
        <w:tc>
          <w:tcPr>
            <w:tcW w:w="6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102,634</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 and capitalization of internally developed software costs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(21,517)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(40,000)</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(61,517)</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to former shareholders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aggregated funds liability</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third-party IPO issuance costs</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shares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(688)</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issuances of debt, net of creditor fees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debt</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(1,584,080)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(37,983)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(64,982)</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Third-party fees paid in connection with issuance of new debt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settlement of stock options</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 liabilities paid</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(791)</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(17,151)</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(67,065)</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cash and cash equivalents during the period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0" w:type="dxa"/>
            <w:vAlign w:val="bottom"/>
          </w:tcPr>
          <w:p>
            <w:pPr>
              <w:spacing w:after="0"/>
              <w:rPr>
                <w:sz w:val="1"/>
                <w:szCs w:val="1"/>
                <w:color w:val="auto"/>
              </w:rPr>
            </w:pPr>
          </w:p>
        </w:tc>
      </w:tr>
      <w:tr>
        <w:trPr>
          <w:trHeight w:val="20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cash–beginning of period</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54,500</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cash–end of period</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122,771</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193,003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144,317</w:t>
            </w: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taxes paid (refunds received),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 purchases in accounts payable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Unpaid third-party IPO issuance costs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Balance Sheet Cash Accounts to Cash Flow Statement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Balance sheet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64,558</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Waystar Holding Corp. (“Waystar”, “we”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spacing w:after="0" w:line="1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 We are subject to risks common to companies in similar industries, including, but not limited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in a highly competitive industry, our ability to retain our existing clients and attract new clients,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impact of government regulations on our market, and our reliance on certain third-party vendors and providers.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associated with such indemnifications was recorded as of December 31,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15, 2024, we effected a 0.605-for-1 reverse stock split of our common stock and a 0.605-for-1 reverse stock split of our Class A common stock. The reverse stock split did not result in an adjustment to the par value of common stock or Class A common stock. The reverse stock split was originally made effective on May 15, 2024 with a 0.62-for-1 ratio and this was retroactively amended on May 22, 2024 which updated the ratio to 0.605-for-1. All references in the accompanying consolidated financial statements and related Note 15, Note 17, and Note 19 have been updated to reflect the effects of the reverse stock split at the amended 0.605-for-1 ratio. The number of shares of common stock, Class A common stock, additional paid-in-capital, options to purchase common stock, and loss per share amounts, which are presented and disclosed in the financial statements and aforementioned footnotes, have been restated on a retroactive basis for all periods presented to reflect the effects of this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2024, we completed our initial public offering (“IPO”) in which we issued and sold 45,000,000 shares of our common stock at $21.50 per share. We received total proceeds of $914.3 million after deducting the underwriters’ discounts and commissions of $53.2 million. Deferred offering costs, which consist of direct incremental legal, accounting and other third-party fees that are directly related to the IPO, were capitalized and offset against proceeds upon the consummation of the IPO. Through the date of the IPO, we had capitalized $8.8 million of deferred offering costs. These costs were offset against proceeds upon the consummation of the IPO.</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IPO we granted the underwriters an overallotment option, for a period of 30 days from the date of the prospectus, to purchase up to 6,750,000 additional shares of common stock from us at the initial public offering price less the underwriting discount. On July 5, 2024, the underwriters exercised the overallotment option to purchase 5,059,010 additional shares of common stock, resulting in additional net proceeds of $102.8 million after deducting underwriting discounts and commissions of $6.0 million. The remaining option to purchase additional shares expired unexercised at the end of the 30-day period.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used the net proceeds from the IPO and the underwriters’ exercise of the overallotment option on July 5, 2024, to repay $909.1 million and $110.9 million, respectively, of outstanding principal indebtedness under our First Lien Credit Facility (as defined below). See Note 12 below for details.</w:t>
      </w:r>
    </w:p>
    <w:p>
      <w:pPr>
        <w:spacing w:after="0" w:line="172" w:lineRule="exact"/>
        <w:rPr>
          <w:sz w:val="20"/>
          <w:szCs w:val="20"/>
          <w:color w:val="auto"/>
        </w:rPr>
      </w:pPr>
    </w:p>
    <w:p>
      <w:pPr>
        <w:ind w:right="6180" w:firstLine="8"/>
        <w:spacing w:after="0" w:line="456" w:lineRule="auto"/>
        <w:tabs>
          <w:tab w:leader="none" w:pos="3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Financial Statement Presentation</w:t>
      </w:r>
    </w:p>
    <w:p>
      <w:pPr>
        <w:ind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consolidated balance sheets, statements of operations, statements of comprehensive loss, statements of changes in stockholders’ equity, and statements of cash flows of Waystar and its subsidiaries and have been prepared in accordance with accounting principles generally accepted in the United States of America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evaluated regularly by the chief operating decision maker in deciding how to allocate resources and assessing performance. We define the term “chief operating decision maker” to be our Chief Executive Officer. Our Chief Executive Officer reviews the financial information presented on an entire company basis for purposes of allocating resources and evaluating our financial performance. Accordingly, we have determined that we operate in a single reportable operating segment.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 (1) revenue recognition, including estimated expected customer life;</w:t>
      </w:r>
    </w:p>
    <w:p>
      <w:pPr>
        <w:spacing w:after="0" w:line="3"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accounts receivable and taxes receivable; (3) impairment assessment of goodwill and long-lived intangible assets;</w:t>
      </w:r>
    </w:p>
    <w:p>
      <w:pPr>
        <w:spacing w:after="0" w:line="9" w:lineRule="exact"/>
        <w:rPr>
          <w:rFonts w:ascii="Times New Roman" w:cs="Times New Roman" w:eastAsia="Times New Roman" w:hAnsi="Times New Roman"/>
          <w:sz w:val="18"/>
          <w:szCs w:val="18"/>
          <w:color w:val="auto"/>
        </w:rPr>
      </w:pPr>
    </w:p>
    <w:p>
      <w:pPr>
        <w:ind w:right="40"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Principals of Consolidation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Waystar Holding Corp. and its subsidiaries. All material intercompany balances and transactions have been eliminated.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through the following five steps:</w:t>
      </w:r>
    </w:p>
    <w:p>
      <w:pPr>
        <w:spacing w:after="0" w:line="207"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customers, referred to as clients elsewhere in this report, represent healthcare providers across all types of care settings, including physician practices, clinics, surgical centers, and laboratories, as well as large hospitals and health systems.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two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the Company’s SaaS solutions is distinct from other services and solutions included in an arrangement.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terms and conditions vary by contract type, although our standard payment terms generally require payment within 30 to</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of Obtaining a Contract</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December 31, 2024 and 2023, the total unamortized costs reported as deferred costs on our balance sheet amounted to $29.0 million and $22.8 million, respectively, for internal sales commissions. For the years ended December 31, 2024, 2023, and 2022, amortization related to the sales commission asset was $10.7 million, $7.6 million, and $4.9 million, respectively. The aforementioned amortization amounts are included in sales and marketing in our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Fulfill a Contract</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December 31, 2024 and 2023, the total unamortized costs reported as deferred costs on our balance sheet amounted to $53.8 million and $43.0 million, respectively, for fulfillment costs. For the years ended December 31, 2024, 2023, and 2022, amortization related to the fulfillment cost asset was $12.3 million, $8.8 million, and $5.8 million, respectively. The aforementioned amortization amounts are included in the costs of revenue in our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relating to deferred costs for the years ended December 31, 2024,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 Partners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account for fees paid to channel partners within sales and marketing expenses in the accompanying statements of operations. For the years ended December 31, 2024, 2023, and 2022, we recorded fees to all channel partners of $65.3 million, $52.3 million, and $46.0 million, respectively. As we are primarily responsible for contracting with and fulfilling contracts for the end user, we record revenue gross of related channel partner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consider highly liquid investments with an original maturity of three months or less to be cash equivalents. We maintain our cash in bank deposit accounts, which, at times, may exceed federally insured limits. We have not experienced any credit losses in such accounts.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a fee, we provide lockbox solutions through a banking institution to certain clients. When participating customers’ cash is received from their clients or patients, it is deposited in a lockbox account owned by us and is contractually required to be disbursed to the participating clients the following day. Any funds residing in these accounts are categorized as restricted cash.</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restricted cash balance also consists of cash collected on behalf of healthcare providers from patients that has yet to be remitted to the providers. There is also an associated liability corresponding to cash held for others.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Accounts receivable are primarily generated from billings related to our cloud-based technology and do not bear interest. Unbilled accounts receivable arise when services have been rendered for which revenue has been recognized but the customers have not been billed. Substantially all accounts receivable are from companies in the healthcare service industry. Accounts receivable are net of an allowance for doubtful accounts and are considered past due when they are outstanding beyond agreement terms. We estimate the allowance for doubtful accounts based primarily on an analysis of historical collections experience, review of accounts receivable aging schedules, and specific identification of individual clients management believes to be at risk. If additional amounts become uncollectible, they will be charged to operations when that determination is made. Accounts receivable are written off against the allowance for doubtful accounts once all collection efforts have been exhausted, and recovery is deemed remote. If amounts previously written off are collected, they will be included as a deduction in general and administrative expense when received. Credit is extended based on historical experience with similar clients. Generally, collateral is not required.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doubtful accounts are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16"/>
        </w:trPr>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losses on receivables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16"/>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16"/>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Depreciation of property and equipment is computed using the straight-line method for financial reporting purposes at rates based on the estimated useful lives and pattern of usage of the assets. The estimated useful lives of the assets are 5 years for computer hardware and office equipment, 7 years for furniture and fixtures, and 40 years for buildings. Purchased computer software is depreciated over the estimated useful life of 3–5 years. Leasehold improvements are amortized over the life of the lease or their estimated useful lives, whichever is shorter. We evaluate the useful lives of these assets and test for impairment whenever events or changes in circumstances occur that could impact the recoverability of these assets.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Expenditures for major renewals and betterments that extend the useful lives of property and equipment are capitalized. Expenditures for maintenance and repairs are charged to expense as incurred. Refer to Note 7 for more information on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licenses and maintenance contracts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Software licenses and prepaid software maintenance contracts are accounted for as prepaid expenses and are amortized over the related service period, which is typically twelve months or less. In instances where contracts exceed twelve months, a portion of the contract is recorded as other long-term assets. As of December 31, 2024 and 2023, total unamortized costs of $7.2 million and $5.5 million, respectively, were included in prepaid expenses. As of December 31, 2024 and 2023, total unamortized costs of $0.1 million and $0.3 million, respectively, were included in other long-term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Long-lived assets are amortized over their useful lives. We evaluate the remaining useful life of long-lived assets periodically to determine if events or changes in circumstances warrant a revision to the remaining period of amortization. The carrying amounts of these assets are reviewed for impairment whenever events or changes in circumstances indicate that the carrying value of these assets may not be recoverable. We measure the recoverability of these assets by comparing the carrying amount of the asset group to the future undiscounted cash flows the assets are expected to generate. If the undiscounted cash flows used in the test for recoverability are less than the carrying amount of the asset groups, then the carrying amount of such assets is reduced to fair value. Refer to Notes 7, 8, and 9 for more information on long-lived assets.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in accordance with ASC 805, Business Combinations, where the total purchase price is allocated to the tangible and identified intangible assets acquired and liabilities assumed based on their estimated fair values. The purchase price is allocated using the information currently available, and may be adjusted, up to one year from acquisition date, after obtaining more information regarding, among other things, asset valuations, liabilities assumed and revisions to preliminary estimates. The purchase price in excess of the fair value of the tangible and identified intangible assets acquired less liabilities assumed is recognized as goodwill.</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account for goodwill under the provisions of ASC 350, Intangibles—Goodwill and Other. Goodwill is evaluated for impairment annually on October 1st or whenever there is an impairment indicator. There was no impairment to goodwill during the years ended December 31, 2024, 2023 and 2022, respectively. Refer to Note 8 for more information on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capitalize within other assets certain legal, accounting, and other third-party fees that are directly related to our in-process equity financings, including the planned IPO,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Through June 6, 2024, the effective date of the Prospectus for our IPO, we had capitalized $8.8 million of deferred offering costs, which were recorded in shareholders’ equity upon the completion of the IPO (see Note 1). As of December 31, 2024 and 2023, deferred offering costs capitalized were $0 million and $5.4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 costs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capitalize internal-use software costs under the provisions of ASC 350 which includes costs incurred in connection with the development of new software solutions and enhancements to existing software solutions that are expected to result in increased functionality. The costs incurred in the preliminary stages of development are expensed as incurred. Once the software has reached the development stage, internal and external costs, if direct and incremental, are capitalized until the software is complete and available for general release. Capitalized software development costs are recorded in property and equipment and are amortized on a straight-line basis over their estimated useful life of two years. We evaluate the useful lives of these assets and test for impairment whenever events or changes in circumstances occur that could impact the recoverability of these assets. There were no impairments of capitalized software development costs for the years ended December 31, 2024, 2023, and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consist primarily of personnel and related expenses for employees engaged in research and development activities as well as third-party fees. All such costs are expensed as incurred, except for capitalized software development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Debt issuance costs, net of amortization, are reflected on our balance sheet as a direct reduction in the carrying amount of our long-term debt. In addition, debt issuance costs, net of amortization, related to our revolver debt are included in other assets. Debt issuance costs include fees paid to creditors and third-party fees incurred for the issuance of new debt. Debt issuance costs are amortized over the respective term of the debt instruments using the effective interest method, and amortization charges are included in 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hold one interest rate swap maturing on January 31, 2026. We held one interest rate swap that matured on October 31, 2024 and two interest rate swaps that matured on November 30, 2022 designated as cash flow hedges to a portion of our outstanding debt. At inception and on an ongoing basis, we assess whether our swaps qualify for hedge accounting. These interest rate swaps have been deemed highly effective under ASC 815 so they meet the hedge accounting treatment criteria and qualify for hedge accounting. The swaps have been recorded on the balance sheet at fair value as either assets or liabilities and any changes to the fair value are recorded through accumulated other comprehensive income and reclassified into interest expense in the same period in which the hedged transaction is recognized in earnings. Cash flows from interest rate swaps are reported in the same category as the cash flows from the items being hedged.</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It also establishes a three-level hierarchy that prioritizes the inputs used to measure fair value. The three levels of the hierarchy are defined as follows:</w:t>
      </w:r>
    </w:p>
    <w:p>
      <w:pPr>
        <w:spacing w:after="0" w:line="176"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prices (unadjusted) for identical assets and liabilities in active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carrying value of cash equivalents, accounts receivable, accounts payable, accrued liabilities, and other current assets and liabilities approximates fair value due to the short maturities of these instruments. Swaps are Level 2 instruments whose fair value is derived from discounted cash flows adjusted for nonperformance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payment awards made to employees and members of the Board of Directors based on estimated fair values and when vesting criteria is assessed as probable of being achieved. We utilize the straight-line vesting method to recognize compensation expense for all service-based payment awards. The value of the portion of the award that is ultimately expected to vest is recognized as expense over the requisite service periods in the consolidated statement of operations. Such expense consists of stock-based compensation expense related to stock option grants to employees and directors. See Note 17 for additional information.</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estimate the fair value of service condition stock-based payment awards on the date of grant using the Black-Scholes option pricing model (“Black-Scholes”). We estimate the fair value of the performance condition stock-based payment awards that include a market condition on the date of grant using the Monte Carlo pricing model. We account for forfeitures as they occur. Our determination of fair value is affected by an estimate of our stock value as well as assumptions regarding several highly complex and subjective variables. These variables include, but are not limited to, our expected stock price volatility over the term of the awards and the expected term of the awards. We estimate expected stock price volatility using historical data of a peer group of public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expense advertising costs as incurred. Advertising expense amounted to approximately $12.5 million, $10.5 million, and $10.9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tax expense in the period that includes the enactment date. A valuation allowance is provided against deferred tax assets if it is more-likely-than-not that some portion or all of the deferred tax assets will not be realized. Any change in the valuation allowance is charged to income tax expense in the period such determination was made. Deferred tax balances are presented as noncurrent liabilities. See Note 10 for additional information.</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tax returns to determine whether the tax positions are more-likely-than-not of being sustained upon examination by the applicable tax authority, based on the technical merits of the tax position, and then recognizing the tax benefit that is more-likely-than-not to be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on material uncertain tax positions are classified as interest expense and operating expense, respectively.</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accordance with ASC 450, Contingencies, estimated losses from contingencies are accrued when both of the following conditions are met: (1) it is probable a loss has been incurred; and (2) the amount of loss can be reasonably estimated. Any legal fees are recognized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preparing fiscal year 2023 financial statements, we identified an error in our 2022 consolidated financial statements consisting of an understatement of deferred tax liabilities of $7.8 million, and overstatement of income tax benefit of $7.4 million and overstatement of other comprehensive loss of $0.4 million. We have concluded the error is not material to our fiscal year 2022 financial statements and have corrected the error in the consolidated financial statements as of and for the year ended December 31, 2022 as well as the related disclosure in Note 10—Income Taxes. There was no impact to our total operating, investing, or financing cash flows as presented in the consolidated statement of cash flows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2023 - 07, “Segment Reporting-Improvements to Reportable Segment Disclosures.” The standard is intended to improve reportable segment disclosure requirements, primarily through enhanced disclosures about significant segment expenses. For public business entities, the ASU will be effective for annual periods beginning after December 15, 2023. The guidance will be applied retrospectively unless it is impracticable to do so. Early adoption is permitted. The Company adopted ASU 2023-07 during the year ended December 31, 2024. Refer to Note 4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2023 - 09,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 December 15, 2024. The guidance will be applied on a prospective basis with the option to apply the standard retrospectively. Early adoption is permitted. We are currently evaluating the effect of the adoption of this amendment on our consolidated financial statements.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2024, the ASB issued ASU 2024-13, “Expense Disaggregation Disclosures.” The standard is intended to benefit investors by providing more detailed information about expenses that is critically important in understanding an entity’s performance, assessing an entity’s prospects for future cash flows, and comparing an entity’s performance over time and with that of other entities. For public companies, this ASU will be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effect of the adoption of this amendment on our consolidated financial statements.</w:t>
      </w:r>
    </w:p>
    <w:p>
      <w:pPr>
        <w:spacing w:after="0" w:line="18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revenue type and the timing of revenue recognition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140" w:type="dxa"/>
            <w:vAlign w:val="bottom"/>
          </w:tcPr>
          <w:p>
            <w:pPr>
              <w:spacing w:after="0"/>
              <w:rPr>
                <w:sz w:val="15"/>
                <w:szCs w:val="15"/>
                <w:color w:val="auto"/>
              </w:rPr>
            </w:pPr>
          </w:p>
        </w:tc>
        <w:tc>
          <w:tcPr>
            <w:tcW w:w="266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$ 457,975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$ 401,013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$ 366,717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Volume-based revenue</w:t>
            </w:r>
          </w:p>
        </w:tc>
        <w:tc>
          <w:tcPr>
            <w:tcW w:w="6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386,276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335,452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 revenue</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$ 943,549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$ 791,010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$ 704,874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spacing w:after="0" w:line="1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activity impacting deferred revenue balances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17,108</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the transaction price related to unsatisfied performance obligations that are expected to be recognized for the next 12 months and greater than 12 months was $52.2 million and $17.9 million,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for executed contracts does not include revenue related to performance obligations that are part of a contract with an original expected duration of one year or less. Additionally, the balance does not include variable consideration that is allocated entirely to wholly unsatisfied promises that form part of a single performance obligation comprised of a series of distinct daily services.</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and changes in the timing and scope of contracts, arising from contract modifications.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w:t>
      </w:r>
    </w:p>
    <w:p>
      <w:pPr>
        <w:spacing w:after="0" w:line="18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Our CODM is our Chief Executive Officer. On a monthly basis, our CODM reviews the following financial information presented on a consolidated basis. The key profitability metric used for purposes of making key personnel staffing decisions, approving operating budgets and forecasts, and making strategy decisions is Net Income as detailed below. See Note 3 for our disaggregated revenue by type.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704,874</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 &amp; connectivity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144,578</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&amp; associated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&amp; marketing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G&amp;A</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167,485</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&amp; non-operating expenses,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segment assets by major asset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Disclosures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hierarchy for financial assets and liabilities measured at fair value on a recurring basis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94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9"/>
              </w:rPr>
              <w:t>Financial assets:</w:t>
            </w: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Interest rate swaps</w:t>
            </w:r>
          </w:p>
        </w:tc>
        <w:tc>
          <w:tcPr>
            <w:tcW w:w="34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Interest rate swaps</w:t>
            </w:r>
          </w:p>
        </w:tc>
        <w:tc>
          <w:tcPr>
            <w:tcW w:w="34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9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9"/>
              </w:rPr>
              <w:t>Financial assets:</w:t>
            </w: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Interest rate swaps</w:t>
            </w:r>
          </w:p>
        </w:tc>
        <w:tc>
          <w:tcPr>
            <w:tcW w:w="34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8"/>
              </w:rPr>
              <w:t>Financial liabilities:</w:t>
            </w: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94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Interest rate swaps</w:t>
            </w:r>
          </w:p>
        </w:tc>
        <w:tc>
          <w:tcPr>
            <w:tcW w:w="34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fair values of our interest rate swaps are based on the sum of all future net present value cash flows. The future cash flows are derived based on the terms of our interest rate swaps, as well as considering published discount factors, and projected SOFR curve. The fair value of long-term debt was determined using the present value of future cash flows based on the borrowing rates currently available for debt with similar terms and maturities. The carrying value of our First Lien Credit Facility was $1,163.5 million and $1,730.8 million compared to a fair value of $1,169.4 million and $1,735.1 million as of December 31, 2024 and 2023, respectively. As of December 31, 2024, there is no balance for our second lien term loan facility given the paydown outlined below in Note 12. The carrying value of our second lien term loan facility approximated fair value as of December 31, 2023. There were no transfers in or out of Level 3 during the periods presented.</w:t>
      </w:r>
    </w:p>
    <w:p>
      <w:pPr>
        <w:spacing w:after="0" w:line="188"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HealthPay24 Acquisition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3, 2023, we completed the acquisition of all issued and outstanding membership interests of HealthPay24, which offers patient engagement and payment solutions. We accounted for the acquisition as a business combination using the acquisition method of accounting. The total consideration paid was allocated to the net tangible and identifiable intangible assets acquired based on their fair values at the acquisition date. The excess consideration paid over the fair value of the net tangible and identifiable intangible assets acquired was recorded as goodwill. Goodwill for the acquisition primarily represents future customer relationships. The goodwill is not deductible for tax purposes. We have included the financial results of HealthPay24 in the consolidated financial statements subsequent to the date of acquisition. Pro forma results, including the acquired business since the beginning of fiscal 2023, would not be materially different than the reported results. Revenue and net earnings since the completion of the acquisition were immaterial. The total consideration paid for HealthPay24 was $31.4 million which entirely consisted of cash consideration.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assets acquired and liabilities assumed as of the acquisitions date (in thousands):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trademarks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acquired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acquired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31,374</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values of the tangible assets were determined primarily using the income approach. The fair values of the acquired identifiable intangible assets were determined using Level 3 inputs such as discounted cash flows which are not observable in the market. Intangible assets acquired from the acquisition include customer relationships, developed technologies, and trade names and trademarks which are all amortized on a straight-line basis approximating the use of the assets. The useful lives of the acquired identifiable intangible assets are 19 years for customer relationships, 8 years for developed technology, and 2 years for trade names and trademarks. The weighted-average remaining useful life for all acquired intangibles is 12.1 years.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acquisition costs of $0.9 million were expensed as incurred and recorded in general and administrative expense in the statement of operations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Olive AI Asset Acquisition</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October 31, 2023, we acquired certain assets of Olive AI, Inc.’s Clearinghouse and Patient Access businesses for total consideration of $10 million. We accounted for the Olive AI acquisition as a business combination using the acquisition method of accounting. As part of the acquisition, we recognized total intangible assets of $10.6 million, including goodwill of $6.5 million.</w:t>
      </w:r>
    </w:p>
    <w:p>
      <w:pPr>
        <w:spacing w:after="0" w:line="172"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major classes of property and equipment are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209"/>
        </w:trPr>
        <w:tc>
          <w:tcPr>
            <w:tcW w:w="40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Purchased computer software</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asset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Internal-use software in progress</w:t>
            </w: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w:t>
            </w:r>
          </w:p>
        </w:tc>
      </w:tr>
      <w:tr>
        <w:trPr>
          <w:trHeight w:val="209"/>
        </w:trPr>
        <w:tc>
          <w:tcPr>
            <w:tcW w:w="40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130,386</w:t>
            </w:r>
          </w:p>
        </w:tc>
      </w:tr>
      <w:tr>
        <w:trPr>
          <w:trHeight w:val="216"/>
        </w:trPr>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(69,127)</w:t>
            </w: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w:t>
            </w:r>
          </w:p>
        </w:tc>
      </w:tr>
      <w:tr>
        <w:trPr>
          <w:trHeight w:val="20"/>
        </w:trPr>
        <w:tc>
          <w:tcPr>
            <w:tcW w:w="4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of fixed assets, including the amortization of capitalized software, for the years ended December 31, 2024, 2023, and 2022 was $38.7 million, $17.1 million, and $15.7 million, respectively.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capitalized $16.4 million, $15.0 million, and $10.9 million in software development costs for the years ended December 31, 2024, 2023, and 2022, respectively. Amortization of capitalized software was $10.2 million, $6.8 million, and $5.6 million for the years ended December 31, 2024, 2023, and 2022, respectively. The net book value of capitalized software development costs was $29.6 million and $23.4 million as of December 31, 2024 and 2023, respectively. We expect to recognize $13.2 million of amortization of capitalized software in future periods.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were no impairments of property and equipment for the years ended December 31, 2024, 2023, and 2022, respectively. For the year ended December 31, 2022, we recorded impairment expense of $4.6 million related to leasehold improvements at closed office locations as general and administrative expense in our consolidated statement of operations. Due to the relocation of one of our offices, we reduced the useful life of the related finance lease and leasehold improvement assets which represented $17.9 million of incremental depreciation in the year ended December 31, 2024. The aforementioned assets have been fully depreciated and disposed of as of December 31, 2024.</w:t>
      </w:r>
    </w:p>
    <w:p>
      <w:pPr>
        <w:spacing w:after="0" w:line="183"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Goodwill has a balance of $3.0 billion as of both December 31, 2024 and 2023. During the year ended December 31, 2024, we recorded an out-of-period adjustment to record a previously unrecognized deferred tax asset for the future benefit of rollover options originally issued in 2019 in connection with a change of control. The recorded adjustment increased deferred tax assets by $9.1 million, decreased income tax benefit by $0.9 million for the year ended December 31, 2024, and decreased goodwill by $10.0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cost basis changes in the carrying amount of goodwill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3,009,769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Decreases due to measurement period adjustments related to prior year acquisitions</w:t>
            </w: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3,009,558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 recorded in connection with acquisitions (Note 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3,030,013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Rollover options deferred tax asset adjustment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3,019,999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Amortization for definite-lived intangible assets is as follows (in thousands, except useful life):</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2"/>
                <w:szCs w:val="12"/>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1,429,400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(440,729)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988,671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Tradenames and trademarks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1,039,049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1,429,400</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(345,848)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1,083,552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(221,558)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trademarks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(584,263)</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1,186,936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Amortization expense was $147.9 million, $159.4 million, and $167.5 million for the years ended December 31, 2024, 2023, and 2022,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101,915</w:t>
            </w: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515,548</w:t>
            </w: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1,039,049</w:t>
            </w:r>
          </w:p>
        </w:tc>
      </w:tr>
      <w:tr>
        <w:trPr>
          <w:trHeight w:val="20"/>
        </w:trPr>
        <w:tc>
          <w:tcPr>
            <w:tcW w:w="4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determine whether a contract is or contains a lease at inception. At the lease commencement date, we record a liability for the lease obligation and a corresponding asset representing the right to use the underlying asset over the lease term. Leases with an initial term of 12 months or less are not recorded on the consolidated balance sheet and are recognized in expense using a straight-line basis for all asset classes. Variable lease payments are expensed as incurred, which primarily include maintenance costs, services provided by the lessor, and other charges reimbursed to the lessor.</w:t>
      </w:r>
    </w:p>
    <w:p>
      <w:pPr>
        <w:spacing w:after="0" w:line="1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lease office space and data center facilities with remaining lease terms ranging from one year to 10 years, some of which contain renewal options. The exercise of these options is at our sole discretion.</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of our leases contain lease and non-lease components. For leases held on or after January 1, 2022, we have elected the practical expedient under ASC 842-10-15-37 for all asset classes which allows companies to account for lease and non-lease components as a single lease component.</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leases do not contain an implicit rate of return; therefore, an incremental borrowing rate was determined. We assessed which rate would be most reflective of a reasonable rate we would be able to borrow based on credit rating and lease term.</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Finance lease right-of-use assets of zero and $16.0 million as of December 31, 2024 and 2023, respectively, are included in property and equipment, net on the consolidated balance sheet. Due to the relocation of one of our offices (see Note 7), we reduced the useful life of the related finance lease right-of-use asset, which represented $14.9 million of incremental depreciation (excluding accelerated depreciation on leasehold improvements) for the year ended December 31, 2024. We also reduced the useful life of the related operating lease right-of-use asset, which represented $1.2 million of additional operating lease cost for the year ended December 31, 2024.</w:t>
      </w:r>
    </w:p>
    <w:p>
      <w:pPr>
        <w:spacing w:after="0" w:line="1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lease expense for the years ended December 31, 2024, 2023, and 2022, respectively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Borders>
              <w:top w:val="single" w:sz="8" w:color="auto"/>
              <w:bottom w:val="single" w:sz="8" w:color="auto"/>
            </w:tcBorders>
            <w:gridSpan w:val="7"/>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$ 15,993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$ 22,794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are as follows (in thousands):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600" w:type="dxa"/>
            <w:vAlign w:val="bottom"/>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2024, 2023, and 2022 are as follows (in thousands):</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cash flows for financing leases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2024 and 2023 are as follows:</w:t>
      </w:r>
    </w:p>
    <w:p>
      <w:pPr>
        <w:spacing w:after="0" w:line="20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years ended December 31, 2024, 2023, and 2022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uncertain tax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Income tax benefit</w:t>
            </w: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reconciliation between the statutory income tax rate and the effective income tax rate for the years ended December 31, 2024, 2023, and 2022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360" w:type="dxa"/>
            <w:vAlign w:val="bottom"/>
            <w:gridSpan w:val="6"/>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tax effect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rates</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uncertain tax liability</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deferred tax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 tax credits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 - based compensation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revenue, expenses, deferrals and other</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 costs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146,543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ROU asset</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revenue, expenses, deferrals and other</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deferred liabilities</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beginning and ending unrecognized tax benefits, including associated interest and penalties for the years ended December 31, 2024 and 2023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86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the current year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positions related to prior years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0"/>
        </w:trPr>
        <w:tc>
          <w:tcPr>
            <w:tcW w:w="5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amount of unrecognized tax benefits that would impact the effective tax rate if recognized was $4.1 million and $2.9 million, respectively. During the years ended December 31, 2024, 2023, and 2022 we recognized $0.2 million, $0 million, and $0 million expense for interest and penalties related to unrecognized tax benefits. The above unrecognized tax benefits are recorded as an increase in the deferred tax liability in the accompanying balance sheet. Years 2020 to 2023 remain open to examination by federal, state, or local tax authorities.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2024, we had net operating loss (“NOL”) carryforwards, consisting of approximately $4.3 million of tax effected Federal NOLs that expire beginning in 2029 and $10.4 million of tax effected state NOLs net of federal benefit that expire beginning in 2029, limited under provisions of Internal Revenue Code Section 382.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the valuation allowance for the years ended December 31, 2024 and 2023 (in thousands):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173"/>
        </w:trPr>
        <w:tc>
          <w:tcPr>
            <w:tcW w:w="7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attributes</w:t>
            </w: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0"/>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2024, we have a partial valuation allowance on our state credits of $0.2 million as well as a partial valuation allowance on certain state net operating loss carryforwards of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Receivable Securitization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and 2023, we had $80.0 million and $70.0 million, respectively, outstanding under a receivables financing agreement with a counterparty as the lender, which provides for a three-year receivables facility with a limit of $80.0 million (the “Receivables Facility”). On September 6, 2024, we drew $10.0 million on the Receivables Facility and used the proceeds to paydown $10.0 million on the First Lien Credit Facility (see Note 12).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interest rate under the Receivables Facility is 1.61% per annum above the SOFR rate with a minimum base of 0%. The SOFR is adjusted each thirty-day period to the thirty-day SOFR rate. Interest under the Receivables Facility is paid monthly in arrears. As of December 31, 2024, the effective interest rate for the Receivables Facility is 5.95%.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principal under the Receivables Facility is due on October 31, 2026.</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Receivables Facility contains certain covenants which, among other things, require we maintain certain collection thresholds with respect to our accounts receivable. We were in compliance with all such debt covenants during the periods presented.</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22, 2019, we entered into a first lien credit agreement (the “First Lien Credit Agreement”), which initially provided for a first lien term loan balance of $825.0 million and a revolving credit facility of $125 million. From then through 2023, we entered into various amendments that increased the first lien term loan balance to be $1,730.0 million outstanding and the revolving credit facility borrowing capacity to $342.5 million as of December 31, 2023. We refer to the term loan facilities under the First Lien Credit Agreement as the “First Lien Credit Facility” and the revolving credit facility under the First Lien Credit Agreement as the “Revolving Credit Facility.”</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October 22, 2019, we entered into a second lien credit agreement (the “Second Lien Credit Agreement”), which initially provided a second lien term loan of $255.0 million. From then through 2023, we entered into various amendments that increased the second lien term loan balance to $448.0 million as of December 31, 2023 with a maturity date of October 21, 2027. We refer to the term loan facilities under the Second Lien Credit Agreement as the “Second Lien Credit Facility.”</w:t>
      </w:r>
    </w:p>
    <w:p>
      <w:pPr>
        <w:spacing w:after="0" w:line="1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On February 9, 2024, we executed the Eighth Amendment to the First Lien Credit Agreement whereby we extended the maturity date of the First Lien Credit Facility to October 22, 2029 and refinanced the outstanding balance of the facility resulting in a new outstanding loan balance of $2.2 billion (“February 2024 First Lien Refinancing”). We utilized proceeds from the amended First Lien Credit Facility to paydown the remaining principal and interest on the Second Lien Credit Facility (“February 2024 Second Lien Paydown”).</w:t>
      </w:r>
    </w:p>
    <w:p>
      <w:pPr>
        <w:spacing w:after="0" w:line="16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IPO in June 2024 (see Note 1), we repaid $909.1 million outstanding principal and $2.8 million accrued interest on our First Lien Credit Facility (“June 2024 First Lien Paydown”). On June 27, 2024, we entered into the Ninth Amendment to the First Lien Credit Agreement whereby the outstanding balance was repriced bearing an interest rate of 2.75% per annum above the SOFR rate with a minimum base of 0.00% (“June 2024 First Lien Repricing”). The Ninth Amendment did not effectuate changes to any other terms of the agreement.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underwriters’ exercise of the overallotment option in July 2024 (see Note 1), we repaid $110.9 million outstanding principal and $0.4 million accrued interest on our First Lien Credit Facility (“July 2024 First Lien Paydown”). On September 6, 2024, we utilized the $10.0 million drawn on the Receivables Facility to paydown $10.0 million outstanding principal on our First Lien Credit Facility (“September 2024 First Lien Paydown”).</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December 30, 2024, we entered into the Tenth Amendment to the First Lien Credit Agreement whereby the outstanding balance was repriced bearing an interest rate of 2.25% per annum above the SOFR rate with a minimum base of 0.00% (“December 2024 First Lien Repricing”). Additionally with the Tenth Amendment, the Revolving Credit Facility’s borrowing capacity was increased to $400.0 million bearing an interest rate of 1.75% per annum above the SOFR rate with a minimum base of 0.00% (“December 2024 Revolving Credit Facility Repricing”).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instruments consist primarily of term notes, revolving lines of credit, and a Receivables Facility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Credit Facility outstanding debt</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$ 1,163,545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$ 1,730,816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Credit Facility outstanding debt</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Facility outstanding debt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debt</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1,243,545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long-term debt, net</w:t>
            </w:r>
          </w:p>
        </w:tc>
        <w:tc>
          <w:tcPr>
            <w:tcW w:w="2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$ 1,220,622</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$ 2,199,678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2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long-term principal payments (excluding debt discount) at December 31, 2024 is as follows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16"/>
        </w:trPr>
        <w:tc>
          <w:tcPr>
            <w:tcW w:w="6960" w:type="dxa"/>
            <w:vAlign w:val="bottom"/>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91,668</w:t>
            </w:r>
          </w:p>
        </w:tc>
      </w:tr>
      <w:tr>
        <w:trPr>
          <w:trHeight w:val="216"/>
        </w:trPr>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16"/>
        </w:trPr>
        <w:tc>
          <w:tcPr>
            <w:tcW w:w="6960" w:type="dxa"/>
            <w:vAlign w:val="bottom"/>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16"/>
        </w:trPr>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1,116,873</w:t>
            </w:r>
          </w:p>
        </w:tc>
      </w:tr>
      <w:tr>
        <w:trPr>
          <w:trHeight w:val="209"/>
        </w:trPr>
        <w:tc>
          <w:tcPr>
            <w:tcW w:w="69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1,243,545</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is no outstanding balance on our revolving credit facility. The interest rate under the revolving credit facility is 1.75% per annum above the SOFR rate with a minimum base of 0.00%. The SOFR is adjusted each thirty-day period to the thirty-day SOFR rate. A December 31, 2024, the effective interest rate for the revolving credit facility is 6.08%.</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interest rate under the amended First Lien Credit Facility is 2.25% per annum above the SOFR rate with a minimum base of 0.00%. The SOFR is adjusted each thirty-day period to the thirty-day SOFR rate. Interest under the First Lien Credit Facility is paid monthly in arrears. As of December 31, 2024, the effective interest rate for First Lien Credit Facility is 6.82%.</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Principal on the First Lien Credit Facility is payable in 20 equal quarterly installments with the remaining balance to be paid on October 22, 2029. As of December 31, 2024, there are 19 payments remaining. The First Lien Credit Agreement contains certain covenants which, among other things, restrict our ability to incur additional indebtedness. We were in compliance with such debt covenants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connection with the February 2024 First Lien Refinancing, we capitalized creditor fees of $2.8 million and $1.4 million of third-party fees in connection with the issuance of new debt. Additionally, we recorded $10.3 million in third party fees that were expensed immediately, which were recorded in general and administrative expense in our consolidated statements of operations. As part of the February 2024 Second Lien Paydown, we recorded a loss on extinguishment of $8.0 million for the year ended December 31, 2024. As part of the February 2024 First Lien Refinancing, we recorded a loss on extinguishment $0.9 million for the year ended December 31, 2024. In connection with the June 2024 First Lien Paydown, we recorded a loss on extinguishment of $9.8 million for the year ended December 31, 2024. As part of the June 2024 First Lien Repricing, we recorded $2.5 million in third-party fees that were expensed immediately, which were recorded in general and administrative expenses in our consolidated statements of operations. We recorded a loss on extinguishment of $0.3 million for the year ended December 31, 2024 related to the June 2024 First Lien Repricing. We also recorded a loss on extinguishment of $1.2 million and $0.1 million in connection with the July 2024 First Lien Paydown and September 2024 First Lien Paydown, respectively, for the year ending December 31, 2024. As part of the December 2024 First Lien Repricing we recorded $1.2 million in third party fees that were expensed immediately, which were recorded in general and administrative expenses in our consolidated statements of operations, and a loss on extinguishment of $0.3 million for the year ended December 31, 2024. For the year ended December 31, 2023, we expensed previously capitalized fees and other debt issuance costs totaling $0.4 million related to a paydown on the Second Lien Credit Facility. For the year ended December 31, 2022, we expensed previously capitalized fees and other debt issuance costs totaling $1.1 million as part of a paydown on the Second Lien Credit Facility. Losses on extinguishment were recorded within interest expense in our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unamortized debt issuance costs of $11.3 million and $31.2 million as of December 31, 2024 and 2023,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Revolving Credit Facility, unamortized debt issuance costs were $2.1 million and $2.4 million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mitigate the risk of a rise in interest rates on the First Lien Credit Facility, we entered into two interest rate swaps on October 13, 2021 and January 13, 2023. We attempt to minimize our interest risk exposure by fixing our rate through the utilization of interest rate swaps, which are derivative instruments. The interest rate swaps mitigate the exposure on the variable component of interest on our First Lien Credit Facility. Our swaps are entered into with financial 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we have the following interest rate swap agreement designated as a hedging instrument: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4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Fixed Rates</w:t>
            </w:r>
          </w:p>
        </w:tc>
      </w:tr>
      <w:tr>
        <w:trPr>
          <w:trHeight w:val="209"/>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2023 through January 31, 2026</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506.7 million</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have the following interest rate swap agreement designated as a hedging instrument: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4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Fixed Rates</w:t>
            </w:r>
          </w:p>
        </w:tc>
      </w:tr>
      <w:tr>
        <w:trPr>
          <w:trHeight w:val="210"/>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2021 through October 31, 2024</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604.1 million</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gain or loss on the swaps is recognized in accumulated other comprehensive loss and reclassified into earnings as adjustments to interest expense in the same period or periods during which the swaps affect earnings. Gains or losses on the swaps representing hedge components excluded from the assessment of effectiveness are recognized in current earnings. The effect of derivative instruments designated as hedging instruments on the accompanying consolidated financial statements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15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180" w:type="dxa"/>
            <w:vAlign w:val="bottom"/>
          </w:tcPr>
          <w:p>
            <w:pPr>
              <w:spacing w:after="0"/>
              <w:rPr>
                <w:sz w:val="13"/>
                <w:szCs w:val="13"/>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Total interest</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Expense on</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Recognized</w:t>
            </w: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18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Derivatives—Cash Flow Hedging Relationships</w:t>
            </w:r>
          </w:p>
        </w:tc>
        <w:tc>
          <w:tcPr>
            <w:tcW w:w="620" w:type="dxa"/>
            <w:vAlign w:val="bottom"/>
          </w:tcPr>
          <w:p>
            <w:pPr>
              <w:spacing w:after="0"/>
              <w:rPr>
                <w:sz w:val="12"/>
                <w:szCs w:val="12"/>
                <w:color w:val="auto"/>
              </w:rPr>
            </w:pPr>
          </w:p>
        </w:tc>
        <w:tc>
          <w:tcPr>
            <w:tcW w:w="15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AOCI/AOCL on</w:t>
            </w: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from AOCI/AOCL</w:t>
            </w: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AOCI/AOCL</w:t>
            </w:r>
          </w:p>
        </w:tc>
        <w:tc>
          <w:tcPr>
            <w:tcW w:w="18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0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80" w:type="dxa"/>
            <w:vAlign w:val="bottom"/>
          </w:tcPr>
          <w:p>
            <w:pPr>
              <w:spacing w:after="0"/>
              <w:rPr>
                <w:sz w:val="15"/>
                <w:szCs w:val="15"/>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(14,921)</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(14,036)</w:t>
            </w:r>
          </w:p>
        </w:tc>
        <w:tc>
          <w:tcPr>
            <w:tcW w:w="1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(205,917)</w:t>
            </w:r>
          </w:p>
        </w:tc>
        <w:tc>
          <w:tcPr>
            <w:tcW w:w="0" w:type="dxa"/>
            <w:vAlign w:val="bottom"/>
          </w:tcPr>
          <w:p>
            <w:pPr>
              <w:spacing w:after="0"/>
              <w:rPr>
                <w:sz w:val="1"/>
                <w:szCs w:val="1"/>
                <w:color w:val="auto"/>
              </w:rPr>
            </w:pPr>
          </w:p>
        </w:tc>
      </w:tr>
      <w:tr>
        <w:trPr>
          <w:trHeight w:val="234"/>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30,327</w:t>
            </w:r>
          </w:p>
        </w:tc>
        <w:tc>
          <w:tcPr>
            <w:tcW w:w="16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net amount of accumulated other comprehensive income expected to be reclassified to interest income in the next twelve months is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$35.6 million and $65.3 million, respectively, of outstanding debt as part of the first lien term loan facility from Bain Affiliated Funds and CPPIB Credit Investments III Inc., affiliates of Bain Capital LP and Canada Pension Plan Investment Board (“Affiliated Debtholders”). Interest expense associated with and paid to Affiliated Debtholders was $4.5 million, $7.6 million and $6.4 million for the years ended December 31, 2024, 2023, and 2022, respectively.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Canada Pension Plan Investment Board has an ownership interest in us and a significant interest in the landlord that leases us office space under an operating lease agreement in Houston, Texas. For the years ended December 31, 2024, 2023, and 2022, we expensed $0.2 million, $0.3 million and $0.2 million, respectively, for this office space lease in general and administrative expense.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Bain Capital LP has an ownership interest in us and a significant interest in some clients for whom we provide software solutions. For the years ended December 31, 2024, 2023, and 2022, we earned $1.9 million from five customers, $1.5 million from four customers and $1.4 million from two customers, respectively. They also have an ownership interest in us and a significant interest in two vendors that provides us with software solutions. For the years ended December 31, 2024, 2023, and 2022, we expensed $2.1 million, $0.4 million and $0.4 million, respectively, for software services from these vendors in cost of revenue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and Preferred Stock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 to the IPO, we authorized the issuance of 225,000,000 shares of common stock, par value $0.01 per share and 2,000,000 shares of Class A common stock, par value $0.01 per share. There were 121,243,101 common stock shares issued and outstanding as of December 31, 2023. There were 436,801 Class A common stock shares issued and outstanding as of December 31, 2023. Both common stock and Class A common stock had the same dividend and liquidation rights. However, each share of common stock was entitled to one vote and each share of the Class A common stock was not entitled to a vote.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Company’s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172,108,240 common stock shares issued and outstanding as of December 31, 2024. There were no shares of preferred stock issued and outstanding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$4.7 million, $4.1 million and $3.8 million for the years ended December 31, 2024,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22, 2019, the Board of Directors approved the Waystar Holding Corp. 2019 Stock Incentive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3.4 million fully vested rollover options remain outstanding.</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the Company’s common stock, restricted stock units, and other equity-based awards tied to the value of the Company’s shares. Under this plan, we can issue up to 10 million options and other equity awards. The number of shares available to be issued automatically increases on the first day of each fiscal year beginning next year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As of December 31, 2024, 4.6 million shares were available for future grants under the plan.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next year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As of December 31, 2024, the ESPP has not been made available to employees and no shares have been issued.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p>
      <w:pPr>
        <w:spacing w:after="0" w:line="176" w:lineRule="exact"/>
        <w:rPr>
          <w:sz w:val="20"/>
          <w:szCs w:val="20"/>
          <w:color w:val="auto"/>
        </w:rPr>
      </w:pPr>
    </w:p>
    <w:p>
      <w:pPr>
        <w:ind w:left="680" w:right="4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rate—reflects the average rate on the United States Treasury bond with maturity equal to the expected term of the option;</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yield—as we do not currently pay dividends or expect to pay dividends in the near future, the expected dividend yield is zero;</w:t>
      </w:r>
    </w:p>
    <w:p>
      <w:pPr>
        <w:spacing w:after="0" w:line="161"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of stock award— under the 2024 Equity Incentive Plan, we utilized the simplified method due to the lack of historical experience activity for our Company. The simplified method calculates the expected term as the mid-point between the vesting date and the contractual expiration date of the award. Under the 2019 Waystar Holding Corp. Plan, it is based on historical experience that is modified based on expected future changes; and</w:t>
      </w:r>
    </w:p>
    <w:p>
      <w:pPr>
        <w:spacing w:after="0" w:line="179"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in stock price—reflects the historical volatility of comparable public companies over the expected term of the stock option.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2024, 2023, and 2022 was $12.89, $19.66, and $15.66 per share, respectively. As of December 31, 2024, we had 7.6 million fully vested options with a weighted average exercise price of $11.93 per share, an aggregate intrinsic value of $187.4 million and an average remaining contractual term of 4.1 years. The total fair value of options vested for the years ended December 31, 2024, 2023, and 2022 were $9.5 million, $8.5 million, and $7.2 million, respectively.</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2024, we determined the vesting of all our performance condition options became probable as a result of the IPO (see Note 1). Therefore, we recognized an additional $33.1 million of stock-based compensation for the year ended December 31, 2024 as the implicit service period for the awards established at the grant date had elapsed. As of December 31, 2024, there is no remaining unrecognized compensation expense related to the performance condition options issued under the 2019 Waystar Holding Corp. Plan.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Information pertaining to option activity under all plans (including rollover options) during the years ending December 31, 2024, 2023, and 2022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9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13,032,541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4,003,703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16,511,128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9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13,123,170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13,032,541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9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12,364,357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1,154,340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13,123,170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assumptions used in estimating the fair value of options granted the years ended December 31, 2024, 2023, and 2022:</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7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Borders>
              <w:bottom w:val="single" w:sz="8" w:color="auto"/>
            </w:tcBorders>
          </w:tcPr>
          <w:p>
            <w:pPr>
              <w:spacing w:after="0"/>
              <w:rPr>
                <w:sz w:val="15"/>
                <w:szCs w:val="15"/>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3.51%–4.55%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1.65%–4.29%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of stock award</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5.0–6.5</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stock price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49.62%–51.89%</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51.64%–55%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50.46%–55%</w:t>
            </w:r>
          </w:p>
        </w:tc>
      </w:tr>
    </w:tbl>
    <w:p>
      <w:pPr>
        <w:spacing w:after="0" w:line="1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(the difference between the fair market value of our stock on the date of exercise and the exercise price) was approximately $7.3 million, $0.4 million and $0.3 million for the years ended December 31, 2024, 2023 and 2022, respectively.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to incur compensation expense of approximately $51.8 million over a weighted average of 3.7 years for all unvested time-based awards outstanding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RSUs granted on June 10, 2024 in conjunction with the IPO were valued at the IPO price. Subsequent RSU grants are valued using our common stock price as of the grant date based on the publicly traded value per NASDAQ, and are expensed on a straight-line basis over the applicable vesting period. All vesting is contingent on continued service.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RSU activity during the year ended December 31, 2024. There was no RSU activity prior to the initial grant of RSUs on June 10, 2024.</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9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to incur compensation expense of $40.0 million over a weighted average of 4.4 years for all unvested RSUs outstanding on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recorded stock-based compensation expense of $54.4 million, $8.8 million, and $8.0 million for the years ended December 31, 2024, 2023 and 2022,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in the following cost and expense categories in the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9"/>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3"/>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645</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Other Accrued Expenses</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1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8,026</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Retirement plan payable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self insurance claims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5,746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0"/>
        </w:trPr>
        <w:tc>
          <w:tcPr>
            <w:tcW w:w="5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per share computations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 (loss) 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 attributable to common shares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outstanding–(voting)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121,238,629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121,247,970</w:t>
            </w: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outstanding–(non-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voting)</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436,801</w:t>
            </w:r>
          </w:p>
        </w:tc>
      </w:tr>
      <w:tr>
        <w:trPr>
          <w:trHeight w:val="21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121,675,430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121,684,771</w:t>
            </w: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 (loss) per share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Diluted income /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 (loss) attributable to common shares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outstanding–(voting)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121,238,629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121,247,970</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outstanding–(non-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voting)</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436,801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436,801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149,915,839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121,675,430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121,684,771</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 (loss) per share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their anti-dilutive effect, 5,761,255, 5,213,559, and 4,819,795 common share equivalents, calculated using the treasury stock method, comprised of time-based stock options and RSUs have been excluded from the diluted earnings per share calculation for the years ended December 31, 2024, 2023 and 2022, respectively.</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through the date of issuance, and there are no significant subsequent events that have occurred through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 13a-15(f) under the Exchange Act) that occurred during the quarter ended December 31, 2024 that have materially affected, or are reasonably likely to materially affect, our internal control over financial reporting.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Officer and Director Trading Arrangements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in the table below, during the three months ended December 31, 2024, none of the Company’s directors or officers adopted, modified, or terminated a “Rule 10b5-1 trading arrangement” or “non-Rule 10b5-1 trading arrangement” as each term is defined in Item 408 of Regulation S-K.</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following officers and directors entered into Rule 10b5-1 trading arrangements: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1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Date of Expiration</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1"/>
                <w:szCs w:val="21"/>
                <w:color w:val="auto"/>
              </w:rPr>
            </w:pPr>
          </w:p>
        </w:tc>
        <w:tc>
          <w:tcPr>
            <w:tcW w:w="36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Plan Terms</w:t>
            </w:r>
          </w:p>
        </w:tc>
      </w:tr>
      <w:tr>
        <w:trPr>
          <w:trHeight w:val="191"/>
        </w:trPr>
        <w:tc>
          <w:tcPr>
            <w:tcW w:w="27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Eric Lee Sinclair III, Chief Business</w:t>
            </w:r>
          </w:p>
        </w:tc>
        <w:tc>
          <w:tcPr>
            <w:tcW w:w="2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11/08/2024</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12/31/2025</w:t>
            </w:r>
          </w:p>
        </w:tc>
        <w:tc>
          <w:tcPr>
            <w:tcW w:w="220" w:type="dxa"/>
            <w:vAlign w:val="bottom"/>
            <w:tcBorders>
              <w:top w:val="single" w:sz="8" w:color="CCEEFF"/>
            </w:tcBorders>
            <w:shd w:val="clear" w:color="auto" w:fill="CCEEFF"/>
          </w:tcPr>
          <w:p>
            <w:pPr>
              <w:spacing w:after="0"/>
              <w:rPr>
                <w:sz w:val="16"/>
                <w:szCs w:val="16"/>
                <w:color w:val="auto"/>
              </w:rPr>
            </w:pPr>
          </w:p>
        </w:tc>
        <w:tc>
          <w:tcPr>
            <w:tcW w:w="3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Provides for exercise of up to 65,000 vested stock</w:t>
            </w: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and the associated sale of up to 65,000</w:t>
            </w:r>
          </w:p>
        </w:tc>
      </w:tr>
      <w:tr>
        <w:trPr>
          <w:trHeight w:val="234"/>
        </w:trPr>
        <w:tc>
          <w:tcPr>
            <w:tcW w:w="2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of the Company’s common stock</w:t>
            </w: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xml:space="preserve">Melissa Miller, </w:t>
            </w:r>
            <w:r>
              <w:rPr>
                <w:rFonts w:ascii="Times New Roman" w:cs="Times New Roman" w:eastAsia="Times New Roman" w:hAnsi="Times New Roman"/>
                <w:sz w:val="18"/>
                <w:szCs w:val="18"/>
                <w:color w:val="231F20"/>
              </w:rPr>
              <w:t>Chief Marketing</w:t>
            </w:r>
          </w:p>
        </w:tc>
        <w:tc>
          <w:tcPr>
            <w:tcW w:w="1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11/20/2024</w:t>
            </w:r>
          </w:p>
        </w:tc>
        <w:tc>
          <w:tcPr>
            <w:tcW w:w="24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12/31/2025</w:t>
            </w:r>
          </w:p>
        </w:tc>
        <w:tc>
          <w:tcPr>
            <w:tcW w:w="39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Provides for (i) the exercise of up to 13,000 vested</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Officer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options and the associated sale of up to</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13,000 shares of the Company’s common stock,</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 the exercise of up to 9,056 options subject to</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performance-based vesting conditions and the</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associated sale of shares of the Company’s</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with the actual number of such</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 and associated shares to be determined</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based on the level of achievement of the</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performance criteria associated with the award,</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(iii) the sale of up to 8,695 shares of the</w:t>
            </w: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Company’s common stock issuable upon vesting</w:t>
            </w:r>
          </w:p>
        </w:tc>
      </w:tr>
      <w:tr>
        <w:trPr>
          <w:trHeight w:val="234"/>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time-based vesting restricted stock units</w:t>
            </w:r>
          </w:p>
        </w:tc>
      </w:tr>
      <w:tr>
        <w:trPr>
          <w:trHeight w:val="198"/>
        </w:trPr>
        <w:tc>
          <w:tcPr>
            <w:tcW w:w="3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Christopher Schremser, Chief</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12/06/2024</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12/31/2025</w:t>
            </w:r>
          </w:p>
        </w:tc>
        <w:tc>
          <w:tcPr>
            <w:tcW w:w="39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Provides for the exercise of up to 86,230 vested</w:t>
            </w: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Officer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 and the associated sale of up to</w:t>
            </w:r>
          </w:p>
        </w:tc>
      </w:tr>
      <w:tr>
        <w:trPr>
          <w:trHeight w:val="234"/>
        </w:trPr>
        <w:tc>
          <w:tcPr>
            <w:tcW w:w="2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86,230 shares of the Company’s common stock</w:t>
            </w: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Matthew Hawkins, Chief Executive</w:t>
            </w:r>
          </w:p>
        </w:tc>
        <w:tc>
          <w:tcPr>
            <w:tcW w:w="1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11/22/2024</w:t>
            </w:r>
          </w:p>
        </w:tc>
        <w:tc>
          <w:tcPr>
            <w:tcW w:w="24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8/15/25</w:t>
            </w:r>
          </w:p>
        </w:tc>
        <w:tc>
          <w:tcPr>
            <w:tcW w:w="39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Provides for the exercise of up to 278,000 vested</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options and the associated sale of up to</w:t>
            </w:r>
          </w:p>
        </w:tc>
      </w:tr>
      <w:tr>
        <w:trPr>
          <w:trHeight w:val="234"/>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278,000 shares of the Company’s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ind w:left="340" w:right="180" w:hanging="332"/>
        <w:spacing w:after="0" w:line="208" w:lineRule="auto"/>
        <w:tabs>
          <w:tab w:leader="none" w:pos="34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plan terminates on the earlier of: (i) the expiration date listed in the table above, (ii) the first date on which all trades set forth in the plan have been executed, or (iii) such date the plan is otherwise terminated according to its terms.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and directors, their respective ages as of February 12, 2025 and a brief account of the business experience of each of them.</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34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Hawkins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Craig Bridge</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53</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Transformation Officer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R. A. Heiman</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51</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Legal &amp; Administrative Officer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Melissa F. (Missy) Miller</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Oreskovich</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53</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 (Ric) Sinclair III</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39</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L. Schremser</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53</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Wittman</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46</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Driscoll</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65</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Blaichman</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48</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DeMichiei</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Priscilla Hung</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C. Liu</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48</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71</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 Moskowitz</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38</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Vivian E. Riefberg</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64</w:t>
            </w: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Ethan Waxman</w:t>
            </w:r>
          </w:p>
        </w:tc>
        <w:tc>
          <w:tcPr>
            <w:tcW w:w="8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36</w:t>
            </w: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Matthew J. Hawkins </w:t>
      </w:r>
      <w:r>
        <w:rPr>
          <w:rFonts w:ascii="Times New Roman" w:cs="Times New Roman" w:eastAsia="Times New Roman" w:hAnsi="Times New Roman"/>
          <w:sz w:val="18"/>
          <w:szCs w:val="18"/>
          <w:color w:val="auto"/>
        </w:rPr>
        <w:t>has served as our Chief Executive Officer and as a member of our board of directors since October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us, Mr. Hawkins was at Sunquest Information Systems, a developer of medical laboratory and diagnostic software, from May 2014 to October 2017, where he served as President. Mr. Hawkins was previously an operational leader with Vista Equity Partners, a private equity firm, where he served as President and board member of Greenway Health, a vendor of health information technology, Chief Executive Officer and board member of Vitera Healthcare Solutions, a provider of EHR, PM systems, and financial and clinical transaction processing, and Chief Executive Officer and board member of SirsiDynix, a library software automation company. From 2004 to 2007, Mr. Hawkins was Vice President and General Manager of Henry Schein Practice Solutions, a global health care distribution company.</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Mr. Hawkins was selected to serve as a director because of his deep knowledge of our business and his significant executive management and leadership experience.</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T. Craig Bridge </w:t>
      </w:r>
      <w:r>
        <w:rPr>
          <w:rFonts w:ascii="Times New Roman" w:cs="Times New Roman" w:eastAsia="Times New Roman" w:hAnsi="Times New Roman"/>
          <w:sz w:val="18"/>
          <w:szCs w:val="18"/>
          <w:color w:val="auto"/>
        </w:rPr>
        <w:t>has served as our Chief Transformation Officer since October 2019. Prior to being named to this role,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Bridge served as Chief Operating and Integration Officer from February 2018 to October 2019. Prior to co-founding Navicure, which is now known as Waystar, in January 2001, Mr. Bridge was at S2 Systems, a global provider of integrated solutions for banking and financial markets, where he oversaw Project Management and Quality Assurance Groups from 2000 to 2001. Mr. Bridge was previously at NDCHealth’s Provider Healthcare Transaction Group, a provider of healthcare information software solutions, where he served in various positions from 1994 to 2000.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Matthew R. A. Heiman </w:t>
      </w:r>
      <w:r>
        <w:rPr>
          <w:rFonts w:ascii="Times New Roman" w:cs="Times New Roman" w:eastAsia="Times New Roman" w:hAnsi="Times New Roman"/>
          <w:sz w:val="18"/>
          <w:szCs w:val="18"/>
          <w:color w:val="auto"/>
        </w:rPr>
        <w:t>has served as our Chief Legal &amp; Administrative Officer since July 2023. Prior to being named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 Mr. Heiman served as General Counsel and Corporate Secretary from 2020 to 2023. Prior to joining us, Mr. Heiman was with Johnson Controls, a global leader in smart, healthy, and sustainable buildings, where he served as Vice President, Corporate Secretary, and Associate General Counsel from 2016 to 2018. Mr. Heiman has served as Director for Strategy for the National Security Institute at George Mason University’s Antonin Scalia School of Law since 2018.</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Melissa F. (Missy) Miller </w:t>
      </w:r>
      <w:r>
        <w:rPr>
          <w:rFonts w:ascii="Times New Roman" w:cs="Times New Roman" w:eastAsia="Times New Roman" w:hAnsi="Times New Roman"/>
          <w:sz w:val="18"/>
          <w:szCs w:val="18"/>
          <w:color w:val="auto"/>
        </w:rPr>
        <w:t>has served as our Chief Marketing Officer since January 2023. Prior to being named Chief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Ms. Miller served as our Senior Vice President of Marketing from December 2021 to February 2023 and as our Vice President of Commercialization from August 2020 to December 2021. Prior to joining us, Ms. Miller served as Interim Chief Growth Officer and Chief Marketing Officer at Chameleon Collective, a hybrid consulting and marketing services firm, from 2018 to 2020. Ms. Miller was previously Owner of Frances and Company, a provider of go-to-market consulting for marketing, commercial, and client success functions, from 2018 to 2020, and has served in various roles at ZirMed, which is now a part of Waystar, from 2015 to 2018 and at McKesson Provider Technologies, which provides healthcare distribution and technology services, from 2008 to 2015.</w:t>
      </w:r>
    </w:p>
    <w:p>
      <w:pPr>
        <w:spacing w:after="0" w:line="183"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M. Oreskovich </w:t>
      </w:r>
      <w:r>
        <w:rPr>
          <w:rFonts w:ascii="Times New Roman" w:cs="Times New Roman" w:eastAsia="Times New Roman" w:hAnsi="Times New Roman"/>
          <w:sz w:val="18"/>
          <w:szCs w:val="18"/>
          <w:color w:val="auto"/>
        </w:rPr>
        <w:t>has served as our Chief Financial Officer since June 2018. Prior to joining us, Mr. Oreskovich was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Healthcare, a subsidiary of IBM through acquisition in 2015 and a software provider of medical image handling and processing, interoperability, and clinical systems, where he held various progressive financial roles, including Corporate Controller, Vice President, Internal Audit, Chief Accounting Officer, and Chief Financial Officer and Treasurer, from 2004 to 2017. Mr. Oreskovich also previously served in various financial roles at Truis, Inc. and at PricewaterhouseCoopers LLP, an accounting firm.</w:t>
      </w:r>
    </w:p>
    <w:p>
      <w:pPr>
        <w:spacing w:after="0" w:line="179"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Eric L. (Ric) Sinclair III </w:t>
      </w:r>
      <w:r>
        <w:rPr>
          <w:rFonts w:ascii="Times New Roman" w:cs="Times New Roman" w:eastAsia="Times New Roman" w:hAnsi="Times New Roman"/>
          <w:sz w:val="18"/>
          <w:szCs w:val="18"/>
          <w:color w:val="auto"/>
        </w:rPr>
        <w:t>has served as our Chief Business Officer since July 2023. Prior to being named Chief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Mr. Sinclair served in various executive roles with us, including Chief Commercial Officer from 2020 to 2023, and Chief Strategy and Product Officer from 2017 to 2020. Prior to joining us, Mr. Sinclair served as the Head of Product at ZirMed, which is now a part of Waystar, from 2008 to 2017, when it was acquired by Bain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Christopher L. Schremser </w:t>
      </w:r>
      <w:r>
        <w:rPr>
          <w:rFonts w:ascii="Times New Roman" w:cs="Times New Roman" w:eastAsia="Times New Roman" w:hAnsi="Times New Roman"/>
          <w:sz w:val="18"/>
          <w:szCs w:val="18"/>
          <w:color w:val="auto"/>
        </w:rPr>
        <w:t>has served as our Chief Technology Officer since November 2017. Prior to joining us,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Schremser was at ZirMed, which is now a part of Waystar, where he served as Chief Technology Officer from 2002 to 2017 and as Infrastructure Manager from 2000 to 2002.</w:t>
      </w:r>
    </w:p>
    <w:p>
      <w:pPr>
        <w:spacing w:after="0" w:line="17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Kim Wittman </w:t>
      </w:r>
      <w:r>
        <w:rPr>
          <w:rFonts w:ascii="Times New Roman" w:cs="Times New Roman" w:eastAsia="Times New Roman" w:hAnsi="Times New Roman"/>
          <w:sz w:val="18"/>
          <w:szCs w:val="18"/>
          <w:color w:val="auto"/>
        </w:rPr>
        <w:t>has served as our Chief People Officer since March 2024. Prior to joining Waystar, Ms. Wittman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of People and Culture of Vivint, Inc., a smart home and security company, from 2022 until 2024. Prior to being named Senior Vice President, Ms. Wittman served in various roles at Vivint since she joined the Company in 2013, including Vice President of Talent Acquisition, HR Business Partner for Technology and Corporate, Senior Director of Human Resources, Director of Human Resources for Technology and Corporate, Manager of Talent Acquisition for Technology and Corporate, and Senior Campus Recruiter. Prior to joining Vivint, Ms. Wittman held various positions a TEKsystems Inc., an IT services management company, Limited Brands, Inc., a retail company, Macy’s Inc., a department store company, and The Buckle, Inc., a fashion retail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Driscoll </w:t>
      </w:r>
      <w:r>
        <w:rPr>
          <w:rFonts w:ascii="Times New Roman" w:cs="Times New Roman" w:eastAsia="Times New Roman" w:hAnsi="Times New Roman"/>
          <w:sz w:val="18"/>
          <w:szCs w:val="18"/>
          <w:color w:val="auto"/>
        </w:rPr>
        <w:t>has served as Chair of our board of directors since 2019. Mr. Driscoll currently serves as Chair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Magnit Company, which he joined in November 2024. Previously, Mr. Driscoll served as President, U.S. Healthcare and Executive Vice President of Walgreens Boots Alliance Inc, from 2022 to 2024, as Chief Executive Officer of CareCentrix, a healthcare benefits management company, from 2013 to 2022, as President of Castlight Health, a healthcare technology company, from 2012 to 2013, and as Group President for Medco, a pharmacy benefits management company, from June 2003 to April 2012. Mr. Driscoll also previously founded and chaired the Surescripts ePrescribing Network, a national health information network, from 2004 to 2007, served as Advisor to Oak Investment Partners, a venture capital firm, and served as Vice President for government programs at Oxford Health Plans, a part of the UnitedHealthcare insurance company. Mr. Driscoll previously served on the board and as chair of the Audit Committee of Press Ganey, a provider of healthcare measurement, performance analytics, and strategic advisory solutions, from April 2016 to July 2019.</w:t>
      </w:r>
    </w:p>
    <w:p>
      <w:pPr>
        <w:spacing w:after="0" w:line="18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Mr. Driscoll was selected to serve as a director because of his experience in corporate governance and leadership in the healthcare industry.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Samuel Blaichman </w:t>
      </w:r>
      <w:r>
        <w:rPr>
          <w:rFonts w:ascii="Times New Roman" w:cs="Times New Roman" w:eastAsia="Times New Roman" w:hAnsi="Times New Roman"/>
          <w:sz w:val="18"/>
          <w:szCs w:val="18"/>
          <w:color w:val="auto"/>
        </w:rPr>
        <w:t>has served as a member of our board of directors since April 2024. He is Managing Director,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Private Equity at CPPIB, which he joined in 2007. Mr. Blaichman previously worked at Bain &amp; Company as a management consultant and in the Corporate Finance and Assurance groups at PricewaterhouseCoopers. He currently serves on the boards of Ascot Group, a specialty risk-assumption organization, and Berlin Packaging, a hybrid packaging supplier, and previously served on the boards of The Gates Corporation, a manufacturer of power transmission belts and fluid power products, Air Distribution Technologies, a manufacturer of air distribution and ventilation solutions, and Wilton Re, a life insurance company.</w:t>
      </w:r>
    </w:p>
    <w:p>
      <w:pPr>
        <w:spacing w:after="0" w:line="18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Mr. Blaichman was selected to serve as a director because of his experience in private equity investing and knowledge and understanding of business and corporate strategy.</w:t>
      </w:r>
    </w:p>
    <w:p>
      <w:pPr>
        <w:spacing w:after="0" w:line="158" w:lineRule="exact"/>
        <w:rPr>
          <w:sz w:val="20"/>
          <w:szCs w:val="20"/>
          <w:color w:val="auto"/>
        </w:rPr>
      </w:pPr>
    </w:p>
    <w:p>
      <w:pPr>
        <w:jc w:val="both"/>
        <w:ind w:right="2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Robert A. DeMichiei </w:t>
      </w:r>
      <w:r>
        <w:rPr>
          <w:rFonts w:ascii="Times New Roman" w:cs="Times New Roman" w:eastAsia="Times New Roman" w:hAnsi="Times New Roman"/>
          <w:sz w:val="18"/>
          <w:szCs w:val="18"/>
          <w:color w:val="auto"/>
        </w:rPr>
        <w:t>has served as a member of our board of directors since 2020. He was the Executive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UPMC, a nonprofit health system and leading health care provider and insurer, from 2004 to 2020. Prior to joining UPMC, Mr. DeMichiei held various executive roles with the General Electric Company, an equipment, solutions, and services provider, from 1997 to 2004 and with PricewaterhouseCoopers, a network of professional services firms, from 1987 to 1997.</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Mr. DeMichiei currently serves as board member of Ampco Pittsburgh Corporation, a manufacturer of forged and cast engineered products and air and liquid processing products and the Automobile Club of Southern California, a national insurer and member services organization and a part of the AAA federation of motor clubs. Mr. DeMichiei also currently serves as a strategic advisor for Health Catalyst and Omega Healthcare Management Services. He was a founder and former board member of Prodigo Solutions, Inc. He is the former Chairman and a current board member of the United Way of Southwestern Pennsylvania, the Finance Committee Chair of the Seton Hill University Board of Trustees, and the Treasurer and Finance Committee Chair of the Advanced Leadership Institute, all charitable organizations.</w:t>
      </w:r>
    </w:p>
    <w:p>
      <w:pPr>
        <w:spacing w:after="0" w:line="18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Mr. DeMichiei was selected to serve as a director because of his experience in various executive and management positions and his experience in the healthcare industry.</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Priscilla Hung </w:t>
      </w:r>
      <w:r>
        <w:rPr>
          <w:rFonts w:ascii="Times New Roman" w:cs="Times New Roman" w:eastAsia="Times New Roman" w:hAnsi="Times New Roman"/>
          <w:sz w:val="18"/>
          <w:szCs w:val="18"/>
          <w:color w:val="auto"/>
        </w:rPr>
        <w:t>has served as a member of our board of directors since February 2024. Ms. Hung has served as a Senior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Guidewire Software, Inc., a provider of cloud-based software for the property and casualty insurance industry, since January 2024. Prior to becoming a Senior Advisor, Ms. Hung served in various roles at Guidewire since joining the company in 2005, including president and chief operating officer, chief administrative officer, senior vice president of corporate development, vice president of operations, and vice president of corporate development. Prior to joining Guidewire, Ms. Hung held several management positions at SAP Ariba, a software and information technology services company, Sun Microsystems, Inc., a manufacturer of computer workstations, servers, and software, and Oracle Corporation, a database and enterprise management company. Ms. Hung currently serves on the boards of Veeva Systems Inc., a provider of cloud-based software for the global life sciences industry, and Ethos Technologies, Inc., a leading online life insurance platform. Ms. Hung previously served on the board of Vonage Holdings Corp., a cloud communications provider, from 2019 until 2022, when it was acquired by Telefonaktiebolaget LM Ericsson.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Ms. Hung was selected to serve as a director because of her experience in technology and platform- based services and deep experience in worldwide operations, including product development, corporate and product strategy, information systems technology and security, cloud operations, and customer success.</w:t>
      </w:r>
    </w:p>
    <w:p>
      <w:pPr>
        <w:spacing w:after="0" w:line="1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Eric C. Liu </w:t>
      </w:r>
      <w:r>
        <w:rPr>
          <w:rFonts w:ascii="Times New Roman" w:cs="Times New Roman" w:eastAsia="Times New Roman" w:hAnsi="Times New Roman"/>
          <w:sz w:val="18"/>
          <w:szCs w:val="18"/>
          <w:color w:val="auto"/>
        </w:rPr>
        <w:t>has served as a member of our board of directors since 2019. He has served as Partner, Head of North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Equity, and Global Co-Head of Healthcare at EQT, an alternative asset management firm since 2014. Since 2024, he has also served as Executive Officer and a member of the board of directors of EQT Private Equity Company LLC, a holding company sponsored by EQT. Mr. Liu also currently serves on the board of Parexel, a global clinical research organization and biopharmaceutical services company, since 2021, and Zeus Industrial Products, Inc., a supplier of custom components to the medical device industry, since 2024. Mr. Liu was previously on the boards of Certara, a leader in model- informed drug development and regulatory science, from 2017 to 2022, Aldevron, a global supplier of plasmid DNA used in cell and gene therapies, from 2019 to 2021, and Press Ganey, a provider of healthcare measurement, performance analytics, and strategic advisory solutions, from 2016 to 2019.</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Mr. Liu was selected to serve as a director because of his experience in finance and capital markets as well as insight into the healthcare industry, gained from advising and serving as a director of multiple EQT portfolio companies.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Heidi G. Miller </w:t>
      </w:r>
      <w:r>
        <w:rPr>
          <w:rFonts w:ascii="Times New Roman" w:cs="Times New Roman" w:eastAsia="Times New Roman" w:hAnsi="Times New Roman"/>
          <w:sz w:val="18"/>
          <w:szCs w:val="18"/>
          <w:color w:val="auto"/>
        </w:rPr>
        <w:t>has served as a member of our board of directors since 2021. Prior to retiring in 2012, she was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JPMorgan International, a division of JPMorgan Chase &amp; Co, from 2010 to 2012. Previously, Ms. Miller served as Chief Executive Officer of JPMorgan Chase’s Treasury and Security Services from 2004 to 2010. Ms. Miller has previously served as Executive Vice President and Chief Financial Officer for Bank One Corporation, which was acquired by JPMorgan Chase, from 2002 to 2004, and has served as Chief Financial Officer for the Travelers Group, a diversified financial services company, from 1995 to 1998 and for Citigroup, an investment bank and financial services company, from 1998 to 2001. Ms. Miller currently serves on the board of Fiserv, a global fintech and payments company, and previously served on the boards of HSBC Holdings PLC, a banking and financial services institution, from 2014 to 2021, General Mills Inc., a food service manufacturer and producer of packaged consumer goods, from 1999 to 2019, and Progressive Corp., an insurance company, from 2011 to 2014, and as a trustee of the International Financial Reporting Standards Foundation, a not-for-profit organization that develops accounting and sustainability disclosure standards.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Ms. Miller was selected to serve as a director because of her experience in leadership, management, and strategic experience at complex organizations in the global banking and financial services industries.</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Paul G. Moskowitz </w:t>
      </w:r>
      <w:r>
        <w:rPr>
          <w:rFonts w:ascii="Times New Roman" w:cs="Times New Roman" w:eastAsia="Times New Roman" w:hAnsi="Times New Roman"/>
          <w:sz w:val="18"/>
          <w:szCs w:val="18"/>
          <w:color w:val="auto"/>
        </w:rPr>
        <w:t>has served as a member of our board of directors since 2019 and a Board Observer since 2016. He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Bain Capital, a global alternative asset management firm, which he joined in 2011. Prior to joining Bain Capital, Mr. Moskowitz was a consultant at Bain &amp; Company, a global consulting firm, from 2009 to 2011. Mr. Moskowitz also serves on the boards of LeanTaas, a HCIT software company that uses advanced data science to improve the operational performance of hospitals and clinics, and PartsSource, which is an online B2B marketplace for hospitals to procure medtech equipment parts and maintenance services.</w:t>
      </w:r>
    </w:p>
    <w:p>
      <w:pPr>
        <w:spacing w:after="0" w:line="18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Mr. Moskowitz was selected to serve as a director because of his experience as a management consultant and private equity investor and his extensive knowledge and understanding of the healthcare, retail, and business services industries.</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Vivian E. Riefberg </w:t>
      </w:r>
      <w:r>
        <w:rPr>
          <w:rFonts w:ascii="Times New Roman" w:cs="Times New Roman" w:eastAsia="Times New Roman" w:hAnsi="Times New Roman"/>
          <w:sz w:val="18"/>
          <w:szCs w:val="18"/>
          <w:color w:val="auto"/>
        </w:rPr>
        <w:t>has served as a member of our board of directors since October 2023. Since August 2020, she has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David C. Walentas Jefferson Scholars Foundation Professorship Chair and is a Professor of Practice at the University of Virginia (“UVA”) Darden School of Business and a Fellow at The Miller Center at UVA. Ms. Riefberg previously held a variety of high-ranking executive positions at McKinsey &amp; Company from September 1987 to July 1988 and December 1989 to May 2020, including leading the Public Sector Practice for the Americas and co-leading the U.S. Health Care practice. She also currently serves on the boards of ONWARD Medical N.V. since 2022 and Lightrock, an impact investing fund, since 2022 and privately held Accompany Health, Inc. since 2023 and K Health Inc. since 2021, and has served as an Emeritus Director with McKinsey &amp; Company since June 2020. In the non- profit world, she serves on the boards of the Public Broadcasting Service since 2018, Johns Hopkins Medicine since July 2020, and the advisory board for the Smithsonian American Women’s History Museum since August 2021. She was previously on the board of governors for the NIH Clinical Center from 2000 to 2004 and was a director on the boards for Signify Health, Inc. from 2020 to 2023, the Partnership for a Healthier America, and McKinsey &amp; Company.</w:t>
      </w:r>
    </w:p>
    <w:p>
      <w:pPr>
        <w:spacing w:after="0" w:line="18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Ms. Riefberg was selected to serve as a director because of her healthcare expertise across both public and private sectors and her management experience.</w:t>
      </w:r>
    </w:p>
    <w:p>
      <w:pPr>
        <w:spacing w:after="0" w:line="15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Ethan Waxman </w:t>
      </w:r>
      <w:r>
        <w:rPr>
          <w:rFonts w:ascii="Times New Roman" w:cs="Times New Roman" w:eastAsia="Times New Roman" w:hAnsi="Times New Roman"/>
          <w:sz w:val="18"/>
          <w:szCs w:val="18"/>
          <w:color w:val="auto"/>
        </w:rPr>
        <w:t>has served as a member of our board of directors since June 2024. Mr. Waxman serves as a Partner at EQT,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he has worked since August 2015. Mr. Waxman currently serves on the board of Zeus Industrial Products, Inc., a supplier of custom components to the medical device industry, since 2024, and previously served on the board of Certara, Inc., a leading provider of software and scientific consulting services, from August 2020 to December 2022.</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Mr. Waxman was selected to serve as a director because of his finance and capital markets experience as well as insight into the healthcare industry gained from advising multiple EQT portfolio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provides for a classified board of directors, with three directors in Class I (Samuel Blaichman, Priscilla Hung, and Vivian Riefberg), four directors in Class II (Eric Liu, Paul Moskowitz, John Driscoll, and Robert DeMichiei) and three directors in Class III (Ethan Waxman, Matthew Hawkins, and Heidi Miller.)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EQT will have the right to nominate to our board of directors (i) two nominees for so long as EQT beneficially owns 25% or greater of our then-outstanding common stock and (ii) one nominee for so long as EQT beneficially owns 5% or greater, but less than 25%, of our then-outstanding common stock.</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Messrs. Waxman and Liu are the initial EQT director nominees. CPPIB will have the right to nominate to our board of directors one nominee for so long as CPPIB beneficially owns 5% or greater of our then-outstanding common stock. Mr. Blaichman is the initial CPPIB director nominee. Bain will have the right to nominate to our board of directors one nominee for so long as Bain beneficially owns 5% or greater of our then-outstanding common stock. Mr. Moskowitz is the initial Bain director nominee. For so long as EQT beneficially owns 20% or greater of our then-outstanding common stock, EQT will have the right to nominate, designate, and remove the chairperson of our board of directors, subject to CPPIB’s consent. In addition, the Institutional Investors have certain nomination rights with respect to our board committees.</w:t>
      </w:r>
    </w:p>
    <w:p>
      <w:pPr>
        <w:spacing w:after="0" w:line="18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addition, we entered into the Stockholders Agreement with EQT, CPPIB, Bain, and certain equity holders, including members of management, to provide for rights identical to the foregoing. Furthermore, under the Stockholders Agreement, if any representatives of EQT serve on any boards or committees of our subsidiaries, CPPIB and Bain will have an equivalent right such that the board of directors of such subsidiary or committee thereof reflects, to the maximum extent possible, the composition of our board of directors and its committees as required under the Stockholders Agreement. For so long as CPPIB beneficially owns 10% or greater of our then-outstanding common stock, CPPIB will have the right to appoint one non- voting board observer, who will have the right to attend all meetings in a non-voting, observer capacity. See Part III, Item 13, “Certain Relationships and Related Transactions and Director Independence—Stockholders Agreement”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our Board of Director’s Role in Risk Oversight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 of our Board of Directors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consist of an Audit, Compliance, &amp; Risk Committee, a Talent &amp; Compensation Committee, and a Nominating and Corporate Governance Committee. Our board of directors may also establish from time to time any other committees that it deems necessary or desirable.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extensive involvement in the oversight of risk management related to us and our business. Our chief executive officer and other executive officers regularly report to the non- executive directors and the Audit, Compliance, &amp; Risk Committee, the Talent &amp; Compensation Committee, and the Nominating and Corporate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Compliance, &amp; Risk Committee</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Audit, Compliance, &amp; Risk Committee consists of Robert DeMichiei, who serves as the Chair, Priscilla Hung, Paul Moskowitz, and Vivian Riefberg. Ms. Hung, Ms. Riefberg, and Mr. DeMichiei qualify as independent directors under the corporate governance standards of Nasdaq and the independence requirements of Rule 10A-3 of the Exchange Act. Our board of directors has determined that Mr. DeMichiei qualifies as an “audit committee financial expert” as such term is defined in Item 407(d)(5) of Regulation S-K. The purpose of the Audit, Compliance, &amp; Risk Committee is to prepare the audit committee report required by the SEC to be included in our proxy statement and to assist our board of directors in overseeing:</w:t>
      </w:r>
    </w:p>
    <w:p>
      <w:pPr>
        <w:spacing w:after="0" w:line="187" w:lineRule="exact"/>
        <w:rPr>
          <w:sz w:val="20"/>
          <w:szCs w:val="20"/>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financial statements;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 and</w:t>
      </w:r>
    </w:p>
    <w:p>
      <w:pPr>
        <w:spacing w:after="0" w:line="238" w:lineRule="exact"/>
        <w:rPr>
          <w:rFonts w:ascii="Times New Roman" w:cs="Times New Roman" w:eastAsia="Times New Roman" w:hAnsi="Times New Roman"/>
          <w:sz w:val="18"/>
          <w:szCs w:val="18"/>
          <w:color w:val="auto"/>
        </w:rPr>
      </w:pPr>
    </w:p>
    <w:p>
      <w:pPr>
        <w:ind w:left="1000" w:right="160" w:hanging="317"/>
        <w:spacing w:after="0" w:line="29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to be included in our proxy statement under the rules and regulations of the SEC.</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Audit, Compliance, &amp; Risk Committee, which is available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&amp; Compensation Committee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Talent &amp; Compensation Committee consists of Heidi Miller, who serves as the Chair, Samuel Blaichman, Priscilla Hung, John Driscoll, and Ethan Waxman.</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Talent &amp; Compensation Committee is to assist our board of directors in discharging its responsibilities relating to:</w:t>
      </w:r>
    </w:p>
    <w:p>
      <w:pPr>
        <w:spacing w:after="0" w:line="162" w:lineRule="exact"/>
        <w:rPr>
          <w:sz w:val="20"/>
          <w:szCs w:val="20"/>
          <w:color w:val="auto"/>
        </w:rPr>
      </w:pPr>
    </w:p>
    <w:p>
      <w:pPr>
        <w:ind w:left="1000" w:right="80" w:hanging="317"/>
        <w:spacing w:after="0" w:line="29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238" w:lineRule="exact"/>
        <w:rPr>
          <w:rFonts w:ascii="Times New Roman" w:cs="Times New Roman" w:eastAsia="Times New Roman" w:hAnsi="Times New Roman"/>
          <w:sz w:val="18"/>
          <w:szCs w:val="18"/>
          <w:color w:val="auto"/>
        </w:rPr>
      </w:pPr>
    </w:p>
    <w:p>
      <w:pPr>
        <w:ind w:left="1000" w:right="620" w:hanging="317"/>
        <w:spacing w:after="0" w:line="29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compensation rules, regulations, and guidelines promulgated by the SEC and other law, as applicable; and</w:t>
      </w:r>
    </w:p>
    <w:p>
      <w:pPr>
        <w:spacing w:after="0" w:line="162" w:lineRule="exact"/>
        <w:rPr>
          <w:rFonts w:ascii="Times New Roman" w:cs="Times New Roman" w:eastAsia="Times New Roman" w:hAnsi="Times New Roman"/>
          <w:sz w:val="18"/>
          <w:szCs w:val="18"/>
          <w:color w:val="auto"/>
        </w:rPr>
      </w:pPr>
    </w:p>
    <w:p>
      <w:pPr>
        <w:ind w:left="1000" w:right="820" w:hanging="317"/>
        <w:spacing w:after="0" w:line="29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Talent &amp; Compensation Committee, which is available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Eric Liu, who serves as the Chair, Samuel Blaichman, John Driscoll, and Heidi Miller.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Nominating and Corporate Governance Committee is to:</w:t>
      </w:r>
    </w:p>
    <w:p>
      <w:pPr>
        <w:spacing w:after="0" w:line="225" w:lineRule="exact"/>
        <w:rPr>
          <w:sz w:val="20"/>
          <w:szCs w:val="20"/>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238" w:lineRule="exact"/>
        <w:rPr>
          <w:rFonts w:ascii="Times New Roman" w:cs="Times New Roman" w:eastAsia="Times New Roman" w:hAnsi="Times New Roman"/>
          <w:sz w:val="18"/>
          <w:szCs w:val="18"/>
          <w:color w:val="auto"/>
        </w:rPr>
      </w:pPr>
    </w:p>
    <w:p>
      <w:pPr>
        <w:ind w:left="1000" w:right="140" w:hanging="317"/>
        <w:spacing w:after="0" w:line="297"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9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23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Nominating and Corporate Governance Committee, which is available on our website.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None of the members of our Talent &amp; Compensation Committee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Talent &amp; Compensation Committee.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certain indemnification agreements with our directors and are party to certain transactions with principal stockholders described in Part III, Item 13, “Certain Relationships and Related Transactions and Director Independence— Indemnification of Directors and Officers” and “— Stockholders Agreement,”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corporate governance listing standards of Nasdaq, a director employed by us cannot be deemed to be an “independent director.” Each other director will qualify as “independent” only if our board of directors affirmatively determines that he has no material relationship with us, either directly or as a partner, stockholder, or officer of an organization that has a relationship with us. Ownership of a significant amount of our stock, by itself, does not constitute a material relationship.</w:t>
      </w:r>
    </w:p>
    <w:p>
      <w:pPr>
        <w:spacing w:after="0" w:line="18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affirmatively determined that each of our directors, other than Matthew J. Hawkins, qualifies as “independent” in accordance with Nasdaq rules. In making its independence determinations, our board of directors considered and reviewed all information known to it (including information identified through directors’ questionnaires).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Experience of Directors; Board Diversity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our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evaluating director candidates, we consider, and will continue to consider in the future, factors including, personal and professional character, integrity, ethics and values, experience in corporate management, finance and other relevant industry experience, social policy concerns, judgment, potential conflicts of interest, including other commitments, practical and mature business judgment, and such factors as age, gender, race, orientation, place of residence, and specialized experience and any other relevant qualifications, attributes or skills.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Conduct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adopted a new Code of Conduct (the “Code of Conduct”) that applies to all of our directors, officers, and employees, including our chief executive officer and chief financial officer. Our Code of Conduct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adopted a Securities Trading Policy, which sets forth the policies and procedures that govern the purchase, sale, and/or other dispositions of our securities by directors, officers, employees and other covered persons. These policies and procedures are designed to promote compliance with insider trading laws, rules, and regulations and applicable listing standards. It is the Company’s policy to comply with all applicable securities and state laws when engaging in transactions in the Company’s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our Securities Trading Policy is filed with this Annual Report on Form 10-K as Exhibit 19.1.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Recommendations of Director Candidates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Stockholders who would like to recommend a candidate for our Nominating and Corporate Governance Committee to consider for possible inclusion in our 2025 proxy statement must send notice to Attention: Corporate Secretary, Waystar Holding Corp., 1550 Digital Drive, #300, Lehi, Utah 84043 by registered, certified or express mail, and provide him or her with a brief biographical sketch of the recommended candidate, a document indicating the recommended candidate’s willingness to serve if elected, and evidence of stock ownership. The Nominating and Corporate Governance Committee or its Chairperson will then consider the recommended director candidate on a substantially similar basis as it considers other nominees.</w:t>
      </w:r>
    </w:p>
    <w:p>
      <w:pPr>
        <w:spacing w:after="0" w:line="1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earned by our principal executive officer and our two other most highly compensated executive officers as of December 31, 2024 for services rendered for the years ended December 31, 2024 and 2023. These individuals are referred to as our named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vMerge w:val="continue"/>
          </w:tcPr>
          <w:p>
            <w:pPr>
              <w:spacing w:after="0"/>
              <w:rPr>
                <w:sz w:val="12"/>
                <w:szCs w:val="12"/>
                <w:color w:val="auto"/>
              </w:rPr>
            </w:pPr>
          </w:p>
        </w:tc>
        <w:tc>
          <w:tcPr>
            <w:tcW w:w="9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3"/>
            <w:vMerge w:val="continue"/>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(5)</w:t>
            </w:r>
          </w:p>
        </w:tc>
        <w:tc>
          <w:tcPr>
            <w:tcW w:w="160" w:type="dxa"/>
            <w:vAlign w:val="bottom"/>
          </w:tcPr>
          <w:p>
            <w:pPr>
              <w:spacing w:after="0"/>
              <w:rPr>
                <w:sz w:val="15"/>
                <w:szCs w:val="15"/>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Hawkins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17,349,946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994,437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771,458</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712,828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 (Ric) Sinclair III</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6,446,723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3,739,130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945,621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625,840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L. Schremser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6,446,723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3,739,130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11,190,988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6"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named executive officer’s base salary earned during the fiscal year covered.</w:t>
      </w:r>
    </w:p>
    <w:p>
      <w:pPr>
        <w:spacing w:after="0" w:line="28" w:lineRule="exact"/>
        <w:rPr>
          <w:rFonts w:ascii="Times New Roman" w:cs="Times New Roman" w:eastAsia="Times New Roman" w:hAnsi="Times New Roman"/>
          <w:sz w:val="14"/>
          <w:szCs w:val="14"/>
          <w:color w:val="auto"/>
        </w:rPr>
      </w:pPr>
    </w:p>
    <w:p>
      <w:pPr>
        <w:ind w:left="340" w:right="680" w:hanging="332"/>
        <w:spacing w:after="0" w:line="271" w:lineRule="auto"/>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time-based vesting stock options granted during the fiscal year covered, computed in accordance with Financial Accounting Standards Board Accounting Standards Codification Topic 718 (“Topic 718”).</w:t>
      </w:r>
    </w:p>
    <w:p>
      <w:pPr>
        <w:ind w:left="340" w:right="260" w:hanging="332"/>
        <w:spacing w:after="0" w:line="271" w:lineRule="auto"/>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time-based vesting restricted stock units granted during the fiscal year covered, computed in accordance with Topic 718.</w:t>
      </w:r>
    </w:p>
    <w:p>
      <w:pPr>
        <w:ind w:left="340" w:right="140" w:hanging="332"/>
        <w:spacing w:after="0" w:line="271" w:lineRule="auto"/>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annual bonuses earned by each named executive officer under the Waystar Incentive Plan for 2024. For Mr. Sinclair, the amount reported also includes aggregate 2024 commission payments. See “—Non-Equity Incentive Plan Compensation” below.</w:t>
      </w:r>
    </w:p>
    <w:p>
      <w:pPr>
        <w:ind w:left="340" w:right="120" w:hanging="332"/>
        <w:spacing w:after="0" w:line="281" w:lineRule="auto"/>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(i) for Mr. Hawkins, employer matching contributions to our 401(k) plan in the amount of $6,900 and tax gross-up related to executive gifts in the amount of $43,579, (ii) for Mr. Sinclair, employer matching contributions to our 401(k) plan in the amount of $13,800 and tax gross-up related to executive gifts in the amount of $22,280 for, and (iii) for Mr. Schremser, employer matching contributions to our 401(k) plan in the amount of $12,900 and tax gross-up related to executive gifts in the amount of $27,725.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Matthew J. Hawkins</w:t>
      </w:r>
    </w:p>
    <w:p>
      <w:pPr>
        <w:spacing w:after="0" w:line="22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entered into a new employment agreement with Mr. Hawkins on November 2, 2023, which we refer to as the Hawkins employment agreement. The Hawkins employment agreement supersedes Mr. Hawkins’ prior employment agreement. The Hawkins employment agreement provides that Mr. Hawkins will continue to serve as our Chief Executive Officer. The Hawkins employment agreement provides for (i) an initial base salary of $800,000, subject to annual review by the Talent &amp; Compensation Committee for increase, (ii) eligibility to receive an annual bonus, with a target bonus equal to 110% of base salary, (iii) eligibility to participate in the 2024 Equity Incentive Plan, and (iv) reimbursement of reasonable business expenses. Mr. Hawkins is also entitled to participate in our employee benefit arrangements.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Hawkins employment agreement further provides for restrictive covenants, as described below under “—Termination and Change of Control Provisions—Restrictive covenants” and severance benefits, as described below under “—Termination and Change of Control Provisions—Severance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Eric L. (Ric) Sinclair III</w:t>
      </w:r>
    </w:p>
    <w:p>
      <w:pPr>
        <w:spacing w:after="0" w:line="22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entered into a new employment agreement with Mr. Sinclair on May 24, 2024, which we refer to as the Sinclair employment agreement. The Sinclair employment agreement supersedes Mr. Sinclair’s prior employment agreement. Under the Sinclair employment agreement, Mr. Sinclair continues to serve as our Chief Business Officer. The Sinclair employment agreement provides for (i) an initial base salary of $430,000, subject to annual review by the Talent &amp; Compensation Committee for increase, (ii) eligibility to receive an annual bonus, with a target bonus equal to 100% of base salary, (iii) eligibility to participate in the 2024 Equity Incentive Plan, and (iv) reimbursement of reasonable business expenses. Mr. Sinclair is also entitled to participate in our employee benefit arrangements.</w:t>
      </w:r>
    </w:p>
    <w:p>
      <w:pPr>
        <w:spacing w:after="0" w:line="17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Sinclair employment agreement further provides for restrictive covenants, as described below under “—Termination and Change of Control Provisions—Restrictive covenants” and severance benefits, as described below under “—Termination and Change of Control Provisions—Severance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Christopher L. Schremser</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entered into a new employment agreement with Mr. Schremser on May 24, 2024, which we refer to as the Schremser employment agreement. The Schremser employment agreement supersedes Mr. Schremser’s prior employment agreement. Under the Schremser employment agreement, Mr. Schremser continues to serve as our Chief Technology Officer. The Schremser employment agreement provides for (i) an initial base salary of $430,000, subject to annual review by the Talent &amp; Compensation Committee for increase, (ii) eligibility to receive an annual bonus, with a target bonus equal to 110% of base salary, (iii) eligibility to participate in the 2024 Equity Incentive Plan, and (iv) reimbursement of reasonable business expenses. Mr. Schremser is also entitled to participate in our employee benefit arrangements.</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Schremser employment agreement further provides for restrictive covenants, as described below under “—Termination and Change of Control Provisions—Restrictive covenants” and severance benefits, as described below under “—Termination and Change of Control Provisions—Severance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reflective of the competitive marketplace, for the services that the named executive officer performs for us. Base salary serves as the primary form of fixed compensation for our named executive officers. Base salary can also impact other compensation and benefit opportunities, including annual bonuses, as such opportunities are expressed as a percentage of base salary. This compensation component constitutes a stable element of compensation while other compensation elements are variable. Base salaries are renewed at least annually and may be increased based on the individual performance of the named executive officer, company performance, any change in the executive’s position within our business, the scope of his responsibilities, and any changes thereto. For 2024, Messrs. Hawkins’, Sinclair’s, and Schremser’s base salaries were $800,000, $430,000, and $430,000, respectively.</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227"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Waystar Incentive Plan</w:t>
      </w:r>
      <w:r>
        <w:rPr>
          <w:rFonts w:ascii="Times New Roman" w:cs="Times New Roman" w:eastAsia="Times New Roman" w:hAnsi="Times New Roman"/>
          <w:sz w:val="18"/>
          <w:szCs w:val="18"/>
          <w:color w:val="auto"/>
        </w:rPr>
        <w:t>. Each named executive officer was eligible to receive an annual bonus under the Waystar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2024 in accordance with the terms of their respective employment agreements and subsequent adjustments. For 2024,</w:t>
      </w:r>
    </w:p>
    <w:p>
      <w:pPr>
        <w:ind w:right="40"/>
        <w:spacing w:after="0" w:line="252" w:lineRule="auto"/>
        <w:rPr>
          <w:sz w:val="20"/>
          <w:szCs w:val="20"/>
          <w:color w:val="auto"/>
        </w:rPr>
      </w:pPr>
      <w:r>
        <w:rPr>
          <w:rFonts w:ascii="Times New Roman" w:cs="Times New Roman" w:eastAsia="Times New Roman" w:hAnsi="Times New Roman"/>
          <w:sz w:val="18"/>
          <w:szCs w:val="18"/>
          <w:color w:val="auto"/>
        </w:rPr>
        <w:t>Messrs. Hawkins’, Sinclair’s, and Schremser’s target incentive opportunity was 110%, 83%, and 110% of their base salaries, respectively. For 2024, 70% of the Waystar Incentive Plan payout was based on company financial performance, 25% of the payout was based on metrics shared by leadership, and 5% of the payout was based on how an individual reflects our values. Company financial performance was based on Adjusted EBITDA targets, total gross bookings targets, and revenue targets, each established at the beginning of the fiscal year and approved by our board of directors. For 2024, based largely on company and shared leadership metric performance, the Waystar Incentive Plan paid out at 113% of the target incentive opportunity.</w:t>
      </w:r>
    </w:p>
    <w:p>
      <w:pPr>
        <w:spacing w:after="0" w:line="188"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Mr. Sinclair’s Commission</w:t>
      </w:r>
      <w:r>
        <w:rPr>
          <w:rFonts w:ascii="Times New Roman" w:cs="Times New Roman" w:eastAsia="Times New Roman" w:hAnsi="Times New Roman"/>
          <w:sz w:val="18"/>
          <w:szCs w:val="18"/>
          <w:color w:val="auto"/>
        </w:rPr>
        <w:t>. For 2024, Mr. Sinclair was also eligible for a commission based on the estimated gross margin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bookings.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Stock Incentive Plan</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stock options granted to our named executive officers under the 2019 Stock Incentive Plan are divided into time-vesting stock options (50% of the stock options granted) and performance-vesting stock options (50% of the stock options granted).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 options have a ten-year term and vest as follows:</w:t>
      </w:r>
    </w:p>
    <w:p>
      <w:pPr>
        <w:spacing w:after="0" w:line="225" w:lineRule="exact"/>
        <w:rPr>
          <w:sz w:val="20"/>
          <w:szCs w:val="20"/>
          <w:color w:val="auto"/>
        </w:rPr>
      </w:pPr>
    </w:p>
    <w:p>
      <w:pPr>
        <w:ind w:left="1000" w:right="100" w:hanging="317"/>
        <w:spacing w:after="0" w:line="27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time-vesting stock options vest over five years, with 20% vesting on each of the first five anniversaries of a specified vesting reference date, subject to continued employment or service with us through each applicable vesting date; however, upon a change of control, all outstanding unvested time-vesting stock options will vest in full immediately prior to the change of control.</w:t>
      </w:r>
    </w:p>
    <w:p>
      <w:pPr>
        <w:spacing w:after="0" w:line="181" w:lineRule="exact"/>
        <w:rPr>
          <w:rFonts w:ascii="Times New Roman" w:cs="Times New Roman" w:eastAsia="Times New Roman" w:hAnsi="Times New Roman"/>
          <w:sz w:val="18"/>
          <w:szCs w:val="18"/>
          <w:color w:val="auto"/>
        </w:rPr>
      </w:pPr>
    </w:p>
    <w:p>
      <w:pPr>
        <w:ind w:left="1000" w:hanging="317"/>
        <w:spacing w:after="0" w:line="27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performance-vesting stock options begin to vest when and if investment vehicles affiliated with EQT, CPPIB, and Bain receive cash proceeds with respect to or in exchange for their equity securities of us equal to a 1.5x multiple on their collective investment in us, subject to the named executive officer’s continued employment or service with us through each applicable measurement date.</w:t>
      </w:r>
    </w:p>
    <w:p>
      <w:pPr>
        <w:spacing w:after="0" w:line="181" w:lineRule="exact"/>
        <w:rPr>
          <w:rFonts w:ascii="Times New Roman" w:cs="Times New Roman" w:eastAsia="Times New Roman" w:hAnsi="Times New Roman"/>
          <w:sz w:val="18"/>
          <w:szCs w:val="18"/>
          <w:color w:val="auto"/>
        </w:rPr>
      </w:pPr>
    </w:p>
    <w:p>
      <w:pPr>
        <w:ind w:left="1000" w:right="40" w:hanging="317"/>
        <w:spacing w:after="0" w:line="27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performance-vesting stock options vest when and if investment vehicles affiliated with EQT, CPPIB, and Bain receive cash proceeds with respect to or in exchange for their equity securities of us equal to a 2.5x multiple on their collective investment in us, subject to the named executive officer’s continued employment or service with us through each applicable measurement date.</w:t>
      </w:r>
    </w:p>
    <w:p>
      <w:pPr>
        <w:spacing w:after="0" w:line="181" w:lineRule="exact"/>
        <w:rPr>
          <w:rFonts w:ascii="Times New Roman" w:cs="Times New Roman" w:eastAsia="Times New Roman" w:hAnsi="Times New Roman"/>
          <w:sz w:val="18"/>
          <w:szCs w:val="18"/>
          <w:color w:val="auto"/>
        </w:rPr>
      </w:pPr>
    </w:p>
    <w:p>
      <w:pPr>
        <w:ind w:left="1000" w:right="380" w:hanging="317"/>
        <w:spacing w:after="0" w:line="28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investment vehicles affiliated with EQT, CPPIB, and Bain receive cash proceeds with respect to or in exchange for their equity securities of us between a 1.5x and a 2.5x multiple on their collective investment in us, the performance-vesting stock options will vest based on linear interpolation.</w:t>
      </w:r>
    </w:p>
    <w:p>
      <w:pPr>
        <w:spacing w:after="0" w:line="17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a termination of employment or service for “cause,” or in the event of a “restrictive covenant breach” (each as defined in the applicable stock option award agreements), both unvested and vested stock options will immediately terminate and expire. See “—Termination and Change of Control Provisions—Equity awards” below for information regarding the treatment of stock options upon a qualified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Incentive Plan</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stock options granted to our named executive officers under the 2024 Equity Incentive Plan have a ten-year term and vest over five years, with 20% vesting on each of the first five anniversaries of a specified vesting reference date, subject to continued employment or service with us through each applicable vesting date.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 termination of employment or service for “cause,” both unvested and vested stock options will immediately terminate and expire. See “—Termination and Change of Control Provisions— Equity awards” below for information regarding the treatment of stock options upon a qualified termination.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restricted stock units granted to our named executive officers under the 2024 Equity Incentive Plan vest over five years, with 20% vesting on each of the first five anniversaries of a specified vesting reference date, subject to continued employment or service with us through each applicable vesting date.</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 termination of employment or service for any reason, unvested restricted stock units will immediately be forfeited for no consideration. See “—Termination and Change of Control Provisions—Equity awards” below for information regarding the treatment of restricted stock units upon a qualified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made to our named executive officers as of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awards: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3040" w:type="dxa"/>
            <w:vAlign w:val="bottom"/>
            <w:gridSpan w:val="3"/>
            <w:vMerge w:val="continue"/>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231F20"/>
              </w:rPr>
              <w:t>vested ($)</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2,327,275</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11/1/2027</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1,089,000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10/23/2029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234,437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$ 33.06</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8/16/2032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$ 37.20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5/1/2034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(3)</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$ 21.50</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6/6/2034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Matthew J. Hawkins</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18,350,000</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10/23/2029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90,750</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$ 18.19</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$ 33.06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8/16/2032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$ 37.20</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5/1/2034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(3)</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434,782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6/6/2034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Eric L. (Ric) Sinclair III</w:t>
            </w:r>
            <w:r>
              <w:rPr>
                <w:rFonts w:ascii="Times New Roman" w:cs="Times New Roman" w:eastAsia="Times New Roman" w:hAnsi="Times New Roman"/>
                <w:sz w:val="25"/>
                <w:szCs w:val="25"/>
                <w:color w:val="auto"/>
                <w:vertAlign w:val="superscript"/>
              </w:rPr>
              <w:t>(4)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173,913</w:t>
            </w:r>
          </w:p>
        </w:tc>
        <w:tc>
          <w:tcPr>
            <w:tcW w:w="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6,382,607</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294,937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$ 16.53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10/23/2029</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$ 18.19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8/9/2030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$ 33.06</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8/16/2032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$ 37.20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5/1/2034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(3)</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434,782</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$ 21.50</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6/6/2034</w:t>
            </w:r>
          </w:p>
        </w:tc>
        <w:tc>
          <w:tcPr>
            <w:tcW w:w="1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173,913</w:t>
            </w:r>
          </w:p>
        </w:tc>
        <w:tc>
          <w:tcPr>
            <w:tcW w:w="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6,382,607</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L. Schremser</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line="271"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substitute options granted to the named executive officer in connection with the acquisition of the Company by investment vehicles affiliated with EQT, CPPIB, and Bain in 2019. Effective July 18, 2024, Mr. Hawkins transferred 500,000 substitute options to an irrevocable trust for which Mr. Hawkins serves as trustee.</w:t>
      </w:r>
    </w:p>
    <w:p>
      <w:pPr>
        <w:ind w:left="340" w:right="40" w:hanging="332"/>
        <w:spacing w:after="0" w:line="271"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time-vesting stock options and performance-vesting stock options granted to the named executive officer under the Company’s 2019 Stock Incentive Plan. See “—Equity awards” above.</w:t>
      </w:r>
    </w:p>
    <w:p>
      <w:pPr>
        <w:ind w:left="340" w:hanging="332"/>
        <w:spacing w:after="0"/>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time-vesting stock options granted to the named executive officer under the Company’s 2024 Equity Incentive Plan. See “—Equity awards” above.</w:t>
      </w:r>
    </w:p>
    <w:p>
      <w:pPr>
        <w:spacing w:after="0" w:line="28" w:lineRule="exact"/>
        <w:rPr>
          <w:rFonts w:ascii="Times New Roman" w:cs="Times New Roman" w:eastAsia="Times New Roman" w:hAnsi="Times New Roman"/>
          <w:sz w:val="14"/>
          <w:szCs w:val="14"/>
          <w:color w:val="auto"/>
        </w:rPr>
      </w:pPr>
    </w:p>
    <w:p>
      <w:pPr>
        <w:jc w:val="both"/>
        <w:ind w:left="340" w:right="320" w:hanging="332"/>
        <w:spacing w:after="0" w:line="292"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time-vesting restricted stock units granted to the named executive officer under the Company’s 2024 Equity Incentive Plan. The market value shown represents the number of restricted stock units multiplied by the closing price for our common stock on the Nasdaq Global Select Market on December 31, 2024, which was $36.70. See “—Equity awards” above.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Stock Incentive Plan</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adopted the 2019 Stock Incentive Plan, effective October 22, 2019, under which we have granted options to purchase shares of our common stock to certain eligible individuals. The 2019 Stock Incentive Plan was terminated effective as of the consummation of our initial public offering and no further stock awards will be issued under the 2019 Stock Incentive Plan. 13,195,915 shares are reserved for issuance with respect to currently outstanding options granted under the 2019 Stock Incentive Plan.</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Awards under the 2019 Stock Incentive Plan are generally subject to adjustment in the event of any (i) dividend (other than regular cash dividends) or other distribution, recapitalization, stock split, reverse stock split, reorganization, merger, consolidation, split-up, split-off, spin-off, combination, extraordinary sale, repurchase, or exchange of shares of common stock or other securities, or other similar transactions or events (including a change of control) or (ii) unusual or nonrecurring events affecting us, including changes in applicable laws, rules, or regulations, or the dissolution or liquidation of the company. In addition, in connection with any change of control, our board of directors may, in its sole discretion, provide for the (a) substitution or assumption of awards, or acceleration of the vesting of, exercisability of, or lapse of restrictions on, awards; (b) cancellation of any outstanding awards that are vested as of such cancellation (or would vest as a result of the occurrence of a change of control) for payment to the holders thereof of the value of such awards, if any, as determined by our board of directors, including with respect to stock options, by payment in an amount equal to the excess, if any, of the fair market value of the shares of common stock subject to the stock option over the aggregate exercise price of the option (and, any stock option having a per share exercise price equal to, or greater than, the fair market value per share subject to the stock option may be canceled and terminated without any payment or consideration therefor); and/or (c) conversion or replacement of any award that is unvested as of the change of control event into, or with the right to receive a payment, based on the value of the award at the time of such conversion or replacement, as determined by our board of directors, that is subject to continued vesting on the same basis as the vesting requirements applicable to the corresponding award.</w:t>
      </w:r>
    </w:p>
    <w:p>
      <w:pPr>
        <w:spacing w:after="0" w:line="19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2019 Stock Incentive Plan, unless permitted by our board of directors, stock awards may not be transferred by a participant, other than by will or the laws of descent and distribution.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awards under the 2019 Stock Incentive Plan are subject to reduction, cancellation, forfeiture, or recoupment to the extent necessary to comply with (i) any clawback, forfeiture or other similar policy adopted by our board of directors or Talent &amp; Compensation Committee and as in effect from time to time and (ii)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Incentive Plan</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the 2024 Equity Incentive Plan in order to provide a means through which to attract, retain, and motivate key personnel. Awards under the 2024 Equity Incentive Plan may be granted to any</w:t>
      </w:r>
    </w:p>
    <w:p>
      <w:pPr>
        <w:ind w:right="140" w:firstLine="8"/>
        <w:spacing w:after="0" w:line="252" w:lineRule="auto"/>
        <w:tabs>
          <w:tab w:leader="none" w:pos="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employed by us or our subsidiaries (other than those U.S. employees covered by a collective bargaining agreement unless and to the extent that such eligibility is set forth in such collective bargaining agreement or similar agreement), (ii) director or officer of us or our subsidiaries, or (iii) consultant or advisor to us or our subsidiaries who may be offered securities registrable pursuant to a registration statement on Form S-8 under the Securities Act. The 2024 Equity Incentive Plan is administered by the Talent &amp; Compensation Committee or such other committee of our board of directors to which it has properly delegated power, or if no such committee or subcommittee exists, our board of directors.</w:t>
      </w:r>
    </w:p>
    <w:p>
      <w:pPr>
        <w:spacing w:after="0" w:line="1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2024 Equity Incentive Plan initially reserves 10,000,000 shares of our common stock for issuance, which is subject to increase on the first day of each fiscal year beginning with the 2025 fiscal year in an amount equal to the lesser of (i) the positive difference, if any, between (x) 5.0% of the outstanding common stock on the last day of the immediately preceding fiscal year and (y) the available plan reserve on the last day of the immediately preceding fiscal year and (ii) a lower number of shares of our common stock as determined by our board of directors; provided, however, that this automatic share reserve increase shall not apply following the tenth (10th) anniversary of the effective date of the 2024 Equity Incentive Plan.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All awards granted under the 2024 Equity Incentive Plan will vest and/or become exercisable in such manner and on such date or dates or upon such event or events as determined by the Talent &amp; Compensation Committee. Awards available for grant under the 2024 Equity Incentive Plan include, non-qualified stock options, incentive stock options, stock appreciation rights, restricted shares of our common stock, restricted stock units, and other equity-based awards tied to the value of our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20" w:firstLine="648"/>
        <w:spacing w:after="0" w:line="272" w:lineRule="auto"/>
        <w:rPr>
          <w:sz w:val="20"/>
          <w:szCs w:val="20"/>
          <w:color w:val="auto"/>
        </w:rPr>
      </w:pPr>
      <w:r>
        <w:rPr>
          <w:rFonts w:ascii="Times New Roman" w:cs="Times New Roman" w:eastAsia="Times New Roman" w:hAnsi="Times New Roman"/>
          <w:sz w:val="17"/>
          <w:szCs w:val="17"/>
          <w:color w:val="auto"/>
        </w:rPr>
        <w:t>Awards are generally subject to adjustment in the event of (i) any dividend (other than regular cash dividends) or other distribution, recapitalization, stock split, reverse stock split, reorganization, merger, consolidation, split-up, split-off, spin-off, combination, repurchase, or exchange of shares of common stock or other securities, or other similar transactions or events or</w:t>
      </w:r>
    </w:p>
    <w:p>
      <w:pPr>
        <w:spacing w:after="0" w:line="2" w:lineRule="exact"/>
        <w:rPr>
          <w:sz w:val="20"/>
          <w:szCs w:val="20"/>
          <w:color w:val="auto"/>
        </w:rPr>
      </w:pPr>
    </w:p>
    <w:p>
      <w:pPr>
        <w:ind w:right="60" w:firstLine="8"/>
        <w:spacing w:after="0" w:line="252"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nonrecurring events affecting the Company, including changes in applicable rules, rulings, regulations, or other requirement. In addition, in connection with any change in control, the Talent &amp; Compensation Committee may, in its sole discretion, provide for any one or more of the following: (i) a substitution or assumption of, acceleration of the vesting of, the exercisability of, or lapse of restrictions on, any one or more outstanding awards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Talent &amp; Compensation Committee.</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may amend, alter, suspend, discontinue, or terminate the 2024 Equity Incentive Plan or any portion thereof at any time, but no such amendment, alteration, suspension, discontinuance, or termination may be made without stockholder approval if (i) such approval is required under applicable law, (ii) it would materially increase the number of securities which may be issued under the 2024 Equity Incentive Plan (except for adjustments in connection with certain corporate events), or (iii) it would materially modify the requirements for participation in the 2024 Equity Incentive Plan.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awards granted under the 2024 Equity Incentive Plan are subject to reduction, cancellation, forfeiture, or recoupment to the extent necessary to comply with (i) any clawback, forfeiture, or other similar policy adopted by our board of directors or the Talent &amp; Compensation Committee and as in effect from time to time and (ii)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our board of directors adopted, and our stockholders approved, the Waystar Holding Corp. 2024 Employee Stock Purchase Plan (the “ESPP”). Under the ESPP, our employees and those of any designated subsidiaries or affiliates (other than employees who, immediately after the purchase right grant, would own stock representing 5% or more of the total combined voting power or value of our common stock), may purchase shares of our common stock, during pre-specified offering periods determined by the Talent &amp; Compensation Committee.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ESPP initially reserves 3,250,000 shares of our common stock for issuance, which is subject to automatic be increase on the first day of each fiscal year following the fiscal year in which the effective date of the ESPP occurred by a number of shares of our common stock equal to the lesser of (i) the positive difference, if any, between (A) 1.0% of the outstanding common stock on the last day of the immediately preceding fiscal year, and (y) the available share reserve of the ESPP on the last day of the immediately preceding fiscal year, and (ii) a lower number of shares of our common stock as determined by our board of directors. The number of shares available for issuance under the ESPP is subject to adjustment for certain changes in our capitalization.</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ESPP is administered by the Talent &amp; Compensation Committee, which has full authority to administer the ESPP and make and interpret rules and regulations regarding administration of the ESPP as it may deem necessary or advisable.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participant may acquire common stock under the ESPP by authorizing the use of contributions to purchase shares of common stock. Contributions must not exceed 15% of the participant’s total compensation A participants may not acquire rights to purchase more than $25,000 of our common stock under the ESPP for any calendar year. Termination of employment for any reason will terminate participation in the ESPP.</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participant’s purchase right to purchase shares of common stock during a purchase period will be exercised automatically on the purchase period end date for that purchase period at a discounted per-share purchase price equal to 85% of the lesser of (i) the fair market value per share of our common stock as determined on the applicable grant date of the purchase right or (ii) the fair market value per share of our common stock as determined on the applicable purchase period end date. Subject to the terms of the ESPP, a purchase right will generally terminate on the earlier of the date of the participant’s termination of employment or the last day of the applicable purchase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there is any change in the outstanding shares of our common stock because of a merger, “change in control” (as defined in our 2024 Equity Incentive Plan), consolidation, recapitalization, or reorganization involving Waystar Holding Corp., or if our board of directors declares a stock dividend, stock split distributable in shares of common stock or reverse stock split, other distribution or combination or reclassification of our common stock, or if there is a similar change in our capital stock structure affecting our common stock, then the number and type of shares of our common stock reserved for issuance under the ESPP will be correspondingly adjusted and, subject to applicable law, the Talent &amp; Compensation Committee will make such adjustments to purchase rights or to any ESPP provision as the Talent &amp; Compensation Committee deems equitable to prevent dilution or enlargement of purchase rights or as may otherwise be advisable. In addition, the Talent &amp; Compensation Committee’s discretion includes, but is not limited to, the authority to provide for any of, or a combination of any of, the following:</w:t>
      </w:r>
    </w:p>
    <w:p>
      <w:pPr>
        <w:spacing w:after="0" w:line="188" w:lineRule="exact"/>
        <w:rPr>
          <w:sz w:val="20"/>
          <w:szCs w:val="20"/>
          <w:color w:val="auto"/>
        </w:rPr>
      </w:pPr>
    </w:p>
    <w:p>
      <w:pPr>
        <w:jc w:val="both"/>
        <w:ind w:left="1000" w:right="160" w:hanging="317"/>
        <w:spacing w:after="0" w:line="305"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termination of any outstanding option in exchange for an amount of cash, if any, equal to the amount that would have been obtained upon the exercise of such option had such option been currently exercisable or (B) the replacement of such outstanding option with other rights or property selected by the Talent &amp; Compensation Committee in its sole discretion;</w:t>
      </w:r>
    </w:p>
    <w:p>
      <w:pPr>
        <w:spacing w:after="0" w:line="159"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substitution of purchase rights by a successor entity (or parent or subsidiary of such successor);</w:t>
      </w:r>
    </w:p>
    <w:p>
      <w:pPr>
        <w:spacing w:after="0" w:line="238" w:lineRule="exact"/>
        <w:rPr>
          <w:rFonts w:ascii="Times New Roman" w:cs="Times New Roman" w:eastAsia="Times New Roman" w:hAnsi="Times New Roman"/>
          <w:sz w:val="18"/>
          <w:szCs w:val="18"/>
          <w:color w:val="auto"/>
        </w:rPr>
      </w:pPr>
    </w:p>
    <w:p>
      <w:pPr>
        <w:ind w:left="1000" w:right="420" w:hanging="317"/>
        <w:spacing w:after="0" w:line="29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number and type of shares (or other securities or property) subject to outstanding options under the ESPP and/or in the terms and conditions of outstanding options and options that may be granted in the future;</w:t>
      </w:r>
    </w:p>
    <w:p>
      <w:pPr>
        <w:spacing w:after="0" w:line="162" w:lineRule="exact"/>
        <w:rPr>
          <w:rFonts w:ascii="Times New Roman" w:cs="Times New Roman" w:eastAsia="Times New Roman" w:hAnsi="Times New Roman"/>
          <w:sz w:val="18"/>
          <w:szCs w:val="18"/>
          <w:color w:val="auto"/>
        </w:rPr>
      </w:pPr>
    </w:p>
    <w:p>
      <w:pPr>
        <w:ind w:left="1000" w:right="320" w:hanging="317"/>
        <w:spacing w:after="0" w:line="281"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accumulated payroll deductions may be used to purchase common stock prior to the next occurring exercise date on such date as the Talent &amp; Compensation Committee determines in its sole discretion and the participants’ options under the ongoing offering period(s) shall be terminated; or</w:t>
      </w:r>
    </w:p>
    <w:p>
      <w:pPr>
        <w:spacing w:after="0" w:line="177" w:lineRule="exact"/>
        <w:rPr>
          <w:rFonts w:ascii="Times New Roman" w:cs="Times New Roman" w:eastAsia="Times New Roman" w:hAnsi="Times New Roman"/>
          <w:sz w:val="18"/>
          <w:szCs w:val="18"/>
          <w:color w:val="auto"/>
        </w:rPr>
      </w:pPr>
    </w:p>
    <w:p>
      <w:pPr>
        <w:ind w:left="1000" w:right="820" w:hanging="317"/>
        <w:spacing w:after="0" w:line="29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all outstanding options shall terminate without being exercised and all amounts in the accounts of participants shall be promptly refunded.</w:t>
      </w:r>
    </w:p>
    <w:p>
      <w:pPr>
        <w:spacing w:after="0" w:line="16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ESPP may be amended, altered, suspended, and/or terminated at any time by our board of directors; provided, that approval of an amendment to the ESPP by our stockholders will be required to the extent, if any, that stockholder approval of such amendment is required by applicable law or would be required under Section 423 of the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Outstanding Options Under 2019 Stock Incentive Plan</w:t>
      </w:r>
    </w:p>
    <w:p>
      <w:pPr>
        <w:spacing w:after="0" w:line="22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the Talent &amp; Compensation Committee approved an amendment to the outstanding option awards granted to our executive officers, including our named executive officers, under the 2019 Stock Incentive Plan. The amendment provides that:</w:t>
      </w:r>
    </w:p>
    <w:p>
      <w:pPr>
        <w:spacing w:after="0" w:line="176" w:lineRule="exact"/>
        <w:rPr>
          <w:sz w:val="20"/>
          <w:szCs w:val="20"/>
          <w:color w:val="auto"/>
        </w:rPr>
      </w:pPr>
    </w:p>
    <w:p>
      <w:pPr>
        <w:ind w:left="1000" w:right="20" w:hanging="317"/>
        <w:spacing w:after="0" w:line="264"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officer’s employment is terminated by us without “cause,” by the executive officer for “good reason” or as a result of his death or disability prior to the first trading window that commences after the 18-month anniversary of the IPO, the performance-vesting options held by such executive officer will not be forfeited upon such termination and will remain outstanding and eligible to vest in connection with any measurement date(s) occurring through and including the commencement of such trading window, subject to satisfaction of applicable performance hurdles; provided, however, that, if any measurement date occurs outside of the three-month period (or, with respect to the stock options granted to</w:t>
      </w:r>
    </w:p>
    <w:p>
      <w:pPr>
        <w:spacing w:after="0" w:line="2" w:lineRule="exact"/>
        <w:rPr>
          <w:rFonts w:ascii="Times New Roman" w:cs="Times New Roman" w:eastAsia="Times New Roman" w:hAnsi="Times New Roman"/>
          <w:sz w:val="18"/>
          <w:szCs w:val="18"/>
          <w:color w:val="auto"/>
        </w:rPr>
      </w:pPr>
    </w:p>
    <w:p>
      <w:pPr>
        <w:ind w:left="100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Hawkins on October 23, 2019, six-month period) immediately following such termination, the number of performance-vesting options that will be eligible to vest in connection with such measurement date will be prorated based on the period of time the executive officer was employed by us relative to the vesting period;</w:t>
      </w:r>
    </w:p>
    <w:p>
      <w:pPr>
        <w:spacing w:after="0" w:line="177" w:lineRule="exact"/>
        <w:rPr>
          <w:rFonts w:ascii="Times New Roman" w:cs="Times New Roman" w:eastAsia="Times New Roman" w:hAnsi="Times New Roman"/>
          <w:sz w:val="18"/>
          <w:szCs w:val="18"/>
          <w:color w:val="auto"/>
        </w:rPr>
      </w:pPr>
    </w:p>
    <w:p>
      <w:pPr>
        <w:ind w:left="1000" w:right="40" w:hanging="317"/>
        <w:spacing w:after="0" w:line="27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achievement of the applicable performance hurdles following our initial public offering, all of our equity securities acquired by investment vehicles affiliated with EQT, CPPIB, and Bain following their initial investment in our equity securities will be deemed to have been acquired at the same per-unit purchase price as such equity securities acquired by them in connection with such initial investment;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80" w:hanging="317"/>
        <w:spacing w:after="0" w:line="27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cash proceeds deemed received by investment vehicles affiliated with EQT, CPPIB, and Bain in connection with any trading window that commences after the 18-month anniversary of the IPO, the value of all of our equity securities held by investment vehicles affiliated with EQT, CPPIB, and Bain as of the commencement of such trading window will be calculated using a per share price equal to the volume-weighted average share price of such equity securities over the 20-trading day period ending as of the date of commencement of such trading window; and</w:t>
      </w:r>
    </w:p>
    <w:p>
      <w:pPr>
        <w:spacing w:after="0" w:line="199" w:lineRule="exact"/>
        <w:rPr>
          <w:rFonts w:ascii="Times New Roman" w:cs="Times New Roman" w:eastAsia="Times New Roman" w:hAnsi="Times New Roman"/>
          <w:sz w:val="18"/>
          <w:szCs w:val="18"/>
          <w:color w:val="auto"/>
        </w:rPr>
      </w:pPr>
    </w:p>
    <w:p>
      <w:pPr>
        <w:ind w:left="1000" w:right="160" w:hanging="317"/>
        <w:spacing w:after="0" w:line="28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officer’s employment is terminated as a result of his death, the executive officer will be permitted to “net exercise” his option awards granted under the 2019 Stock Incentive Plan without the need for additional Talent &amp; Compensation Committee approval.</w:t>
      </w:r>
    </w:p>
    <w:p>
      <w:pPr>
        <w:spacing w:after="0" w:line="17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addition, on November 4, 2024, the Talent &amp; Compensation Committee approved an amendment to the outstanding option awards granted to our executive officers, including each of our named executive officers, under the 2019 Stock Incentive Plan (the “November 2024 Amendment”). The November 2024 Amendment modifies the alternative vesting terms pursuant to which performance-vesting options may vest following the 18-month anniversary of our initial public offering.</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Specifically, the November 2024 Amendment provides that, from and after the date of the first trading window that commences after the 18-month anniversary of the IPO through the final measurement date, the performance-vesting options will be eligible to vest upon the first day of each trading window (each, an “Open Window Commencement Date”), subject to the participant’s continued employment through such date, based on the achievement of the following performance hurdles (the “Alternative Performance Hurdles”):</w:t>
      </w:r>
    </w:p>
    <w:p>
      <w:pPr>
        <w:spacing w:after="0" w:line="183" w:lineRule="exact"/>
        <w:rPr>
          <w:sz w:val="20"/>
          <w:szCs w:val="20"/>
          <w:color w:val="auto"/>
        </w:rPr>
      </w:pPr>
    </w:p>
    <w:p>
      <w:pPr>
        <w:ind w:left="1000" w:right="280" w:hanging="317"/>
        <w:spacing w:after="0" w:line="27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performance-vesting stock options will begin to vest when and if the volume-weighted average share price of our common stock over the 20-trading day period (the “20-Day VWAP”) ending as of such Open Window Commencement Date is at least $24.81 (which represents the share price that would imply a 1.5x multiple on our sponsors’ collective investment in the Company).</w:t>
      </w:r>
    </w:p>
    <w:p>
      <w:pPr>
        <w:spacing w:after="0" w:line="181" w:lineRule="exact"/>
        <w:rPr>
          <w:rFonts w:ascii="Times New Roman" w:cs="Times New Roman" w:eastAsia="Times New Roman" w:hAnsi="Times New Roman"/>
          <w:sz w:val="18"/>
          <w:szCs w:val="18"/>
          <w:color w:val="auto"/>
        </w:rPr>
      </w:pPr>
    </w:p>
    <w:p>
      <w:pPr>
        <w:ind w:left="1000" w:hanging="317"/>
        <w:spacing w:after="0" w:line="281"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performance-vesting stock options will vest when and if the 20-Day VWAP as of such Open Window Commencement Date is at least $41.35 (which represents the share price that would imply a 2.5x multiple on our sponsors’ collective investment in the Company).</w:t>
      </w:r>
    </w:p>
    <w:p>
      <w:pPr>
        <w:spacing w:after="0" w:line="177" w:lineRule="exact"/>
        <w:rPr>
          <w:rFonts w:ascii="Times New Roman" w:cs="Times New Roman" w:eastAsia="Times New Roman" w:hAnsi="Times New Roman"/>
          <w:sz w:val="18"/>
          <w:szCs w:val="18"/>
          <w:color w:val="auto"/>
        </w:rPr>
      </w:pPr>
    </w:p>
    <w:p>
      <w:pPr>
        <w:ind w:left="1000" w:right="560" w:hanging="317"/>
        <w:spacing w:after="0" w:line="29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20-Day VWAP as of such Open Window Commencement Date is between $24.81 and $41.35, the performance-vesting stock options will vest based on linear interpolation.</w:t>
      </w:r>
    </w:p>
    <w:p>
      <w:pPr>
        <w:spacing w:after="0" w:line="16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November 2024 Amendment provides that the number of performance-vesting options that vest on each such Open Window Commencement Date will be reduced by the number of performance-vesting options that have previously vested prior to such Open Window Commencement Date. The Alternative Performance Hurdles replace the provisions in place prior to the November 2024 Amendment that would have treated the 20-Day VWAP as of an Open Window Commencement Date following the 18-month anniversary of the IPO as deemed cash proceeds for purposes of determining the achievement of the sponsor multiple of investment performance vesting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do not yet have a formal policy that requires the Company to grant, or avoid granting, stock options, stock appreciation rights, or similar option-like instruments to our named executive officers or other employees at certain times. We granted option awards to our executive officers and other employees in connection with our IPO and since our IPO, the timing of any equity grants has been in connection with new hires or promotions, the timing of which has been tied to the event giving rise to the award. As a result, in all cases since our IPO, the timing of grants of equity awards, including stock options, has occurred independent of the release of any material nonpublic information, and the Company has not timed the disclosure of material nonpublic information for the purpose of affecting the value of equity-based compensation. We anticipate that our Compensation Committee will consider whether to adopt such a policy in connection with our next grant of options, stock appreciation rights, or similar option-like instruments to employees.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2024, we did not grant any stock options, stock appreciation rights, or similar option-like instruments to executive officers during any period beginning four business days before the filing of a periodic report or current report disclosing material non-public information and ending one business day after the filing or furnishing of such report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of Control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Matthew J. Hawkins. Pursuant to the terms of the Hawkins employment agreement, if Mr. Hawkins’ employment is terminated</w:t>
      </w:r>
    </w:p>
    <w:p>
      <w:pPr>
        <w:spacing w:after="0" w:line="27" w:lineRule="exact"/>
        <w:rPr>
          <w:sz w:val="20"/>
          <w:szCs w:val="20"/>
          <w:color w:val="auto"/>
        </w:rPr>
      </w:pPr>
    </w:p>
    <w:p>
      <w:pPr>
        <w:ind w:left="220" w:hanging="212"/>
        <w:spacing w:after="0"/>
        <w:tabs>
          <w:tab w:leader="none" w:pos="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(as defined in the Hawkins employment agreement) (but not as a result of Mr. Hawkins’ death or disability) or</w:t>
      </w:r>
    </w:p>
    <w:p>
      <w:pPr>
        <w:spacing w:after="0" w:line="9" w:lineRule="exact"/>
        <w:rPr>
          <w:rFonts w:ascii="Times New Roman" w:cs="Times New Roman" w:eastAsia="Times New Roman" w:hAnsi="Times New Roman"/>
          <w:sz w:val="18"/>
          <w:szCs w:val="18"/>
          <w:color w:val="auto"/>
        </w:rPr>
      </w:pPr>
    </w:p>
    <w:p>
      <w:pPr>
        <w:ind w:right="660" w:firstLine="8"/>
        <w:spacing w:after="0" w:line="260"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reason” (as defined in the Hawkins employment agreement), Mr. Hawkins will be entitled to receive the following severance payments and benefits:</w:t>
      </w:r>
    </w:p>
    <w:p>
      <w:pPr>
        <w:spacing w:after="0" w:line="181" w:lineRule="exact"/>
        <w:rPr>
          <w:rFonts w:ascii="Times New Roman" w:cs="Times New Roman" w:eastAsia="Times New Roman" w:hAnsi="Times New Roman"/>
          <w:sz w:val="18"/>
          <w:szCs w:val="18"/>
          <w:color w:val="auto"/>
        </w:rPr>
      </w:pPr>
    </w:p>
    <w:p>
      <w:pPr>
        <w:ind w:left="1000" w:hanging="317"/>
        <w:spacing w:after="0" w:line="276" w:lineRule="auto"/>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18 months of Mr. Hawkins’ then-current base salary and target annual bonus, payable in equal monthly installments over 18 months following termination of employment; provided, however, if such termination is a “CIC qualified termination”(as defined in the Hawkins employment agreement), such amount shall instead be payable in a single lump sum within five days of such termination;</w:t>
      </w:r>
    </w:p>
    <w:p>
      <w:pPr>
        <w:spacing w:after="0" w:line="181" w:lineRule="exact"/>
        <w:rPr>
          <w:rFonts w:ascii="Times New Roman" w:cs="Times New Roman" w:eastAsia="Times New Roman" w:hAnsi="Times New Roman"/>
          <w:sz w:val="18"/>
          <w:szCs w:val="18"/>
          <w:color w:val="auto"/>
        </w:rPr>
      </w:pPr>
    </w:p>
    <w:p>
      <w:pPr>
        <w:ind w:left="1000" w:right="220" w:hanging="317"/>
        <w:spacing w:after="0" w:line="297" w:lineRule="auto"/>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incentive bonus, payable at the time that annual bonuses are paid in accordance with the terms of the applicable plan as if Mr. Hawkins remained employed;</w:t>
      </w:r>
    </w:p>
    <w:p>
      <w:pPr>
        <w:spacing w:after="0" w:line="162" w:lineRule="exact"/>
        <w:rPr>
          <w:rFonts w:ascii="Times New Roman" w:cs="Times New Roman" w:eastAsia="Times New Roman" w:hAnsi="Times New Roman"/>
          <w:sz w:val="18"/>
          <w:szCs w:val="18"/>
          <w:color w:val="auto"/>
        </w:rPr>
      </w:pPr>
    </w:p>
    <w:p>
      <w:pPr>
        <w:ind w:left="1000" w:right="180" w:hanging="317"/>
        <w:spacing w:after="0" w:line="276" w:lineRule="auto"/>
        <w:tabs>
          <w:tab w:leader="none" w:pos="10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incentive bonus for the year of termination, based on actual performance, and payable at the time that annual bonuses are paid in accordance with the terms of the applicable plan as if Mr. Hawkins remained employed; provided, however, if such termination is a “CIC qualified termination,” the performance objectives shall be deemed satisfied at target; and</w:t>
      </w:r>
    </w:p>
    <w:p>
      <w:pPr>
        <w:spacing w:after="0" w:line="181" w:lineRule="exact"/>
        <w:rPr>
          <w:rFonts w:ascii="Times New Roman" w:cs="Times New Roman" w:eastAsia="Times New Roman" w:hAnsi="Times New Roman"/>
          <w:sz w:val="18"/>
          <w:szCs w:val="18"/>
          <w:color w:val="auto"/>
        </w:rPr>
      </w:pPr>
    </w:p>
    <w:p>
      <w:pPr>
        <w:ind w:left="1000" w:right="320" w:hanging="317"/>
        <w:spacing w:after="0" w:line="284" w:lineRule="auto"/>
        <w:tabs>
          <w:tab w:leader="none" w:pos="10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Hawkins timely elects continued coverage under the Consolidated Omnibus Budget Reconciliation Act of 1985 (“COBRA”), a monthly cash payment equal to monthly group health insurance premiums, at active employee rates, for</w:t>
      </w:r>
    </w:p>
    <w:p>
      <w:pPr>
        <w:spacing w:after="0" w:line="1" w:lineRule="exact"/>
        <w:rPr>
          <w:rFonts w:ascii="Times New Roman" w:cs="Times New Roman" w:eastAsia="Times New Roman" w:hAnsi="Times New Roman"/>
          <w:sz w:val="17"/>
          <w:szCs w:val="17"/>
          <w:color w:val="auto"/>
        </w:rPr>
      </w:pPr>
    </w:p>
    <w:p>
      <w:pPr>
        <w:ind w:left="1000" w:right="4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 months following termination of employment or, if earlier, until the date on which Mr. Hawkins is no longer eligible for COBRA coverage.</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 to provide the severance payments and benefits described above are contingent upon Mr. Hawkins’ (i) execution and non-revocation of a separation agreement containing a general release of claims and (ii) continued compliance with the provisions of the Hawkins employment agreement (including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Eric L. (Ric) Sinclair III</w:t>
      </w:r>
      <w:r>
        <w:rPr>
          <w:rFonts w:ascii="Times New Roman" w:cs="Times New Roman" w:eastAsia="Times New Roman" w:hAnsi="Times New Roman"/>
          <w:sz w:val="18"/>
          <w:szCs w:val="18"/>
          <w:color w:val="auto"/>
        </w:rPr>
        <w:t>. Pursuant to the terms of the Sinclair employment agreement, if Mr. Sinclair’s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 by us without “cause” (as defined in the Sinclair employment agreement) (but not as a result of Mr. Sinclair’s death or disability) or (ii) for “good reason” (as defined in the Sinclair employment agreement), Mr. Sinclair will be entitled to receive the following severance payments and benefits:</w:t>
      </w:r>
    </w:p>
    <w:p>
      <w:pPr>
        <w:spacing w:after="0" w:line="182" w:lineRule="exact"/>
        <w:rPr>
          <w:sz w:val="20"/>
          <w:szCs w:val="20"/>
          <w:color w:val="auto"/>
        </w:rPr>
      </w:pPr>
    </w:p>
    <w:p>
      <w:pPr>
        <w:ind w:left="1000" w:right="500" w:hanging="317"/>
        <w:spacing w:after="0" w:line="29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12 months of Mr. Sinclair’s then-current base salary, payable in equal monthly installments over 12 months following termination of employment;</w:t>
      </w:r>
    </w:p>
    <w:p>
      <w:pPr>
        <w:spacing w:after="0" w:line="162" w:lineRule="exact"/>
        <w:rPr>
          <w:rFonts w:ascii="Times New Roman" w:cs="Times New Roman" w:eastAsia="Times New Roman" w:hAnsi="Times New Roman"/>
          <w:sz w:val="18"/>
          <w:szCs w:val="18"/>
          <w:color w:val="auto"/>
        </w:rPr>
      </w:pPr>
    </w:p>
    <w:p>
      <w:pPr>
        <w:ind w:left="1000" w:right="220" w:hanging="317"/>
        <w:spacing w:after="0" w:line="29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incentive bonus, payable at the time that annual bonuses are paid in accordance with the terms of the applicable plan as if Mr. Sinclair remained employed;</w:t>
      </w:r>
    </w:p>
    <w:p>
      <w:pPr>
        <w:spacing w:after="0" w:line="162" w:lineRule="exact"/>
        <w:rPr>
          <w:rFonts w:ascii="Times New Roman" w:cs="Times New Roman" w:eastAsia="Times New Roman" w:hAnsi="Times New Roman"/>
          <w:sz w:val="18"/>
          <w:szCs w:val="18"/>
          <w:color w:val="auto"/>
        </w:rPr>
      </w:pPr>
    </w:p>
    <w:p>
      <w:pPr>
        <w:ind w:left="1000" w:right="180" w:hanging="317"/>
        <w:spacing w:after="0" w:line="29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incentive bonus for the year of termination, based on actual performance, and payable at the time that annual bonuses are paid in accordance with the terms of the applicable plan as if Mr. Sinclair remained employed; and</w:t>
      </w:r>
    </w:p>
    <w:p>
      <w:pPr>
        <w:spacing w:after="0" w:line="162" w:lineRule="exact"/>
        <w:rPr>
          <w:rFonts w:ascii="Times New Roman" w:cs="Times New Roman" w:eastAsia="Times New Roman" w:hAnsi="Times New Roman"/>
          <w:sz w:val="18"/>
          <w:szCs w:val="18"/>
          <w:color w:val="auto"/>
        </w:rPr>
      </w:pPr>
    </w:p>
    <w:p>
      <w:pPr>
        <w:ind w:left="1000" w:right="180" w:hanging="317"/>
        <w:spacing w:after="0" w:line="28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Sinclair timely elects continued coverage under COBRA, a monthly cash payment equal to monthly group health insurance premiums, at active employee rates, for 12 months following termination of employment or, if earlier, until the date on which Mr. Sinclair is no longer eligible for COBRA coverage.</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 to provide the severance payments and benefits described above are contingent upon Mr. Sinclair’s (i) execution and non-revocation of a separation agreement containing a general release of claims and (ii) continued compliance with the provisions of the Sinclair employment agreement (including the restrictive covenants).</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Christopher L. Schremser</w:t>
      </w:r>
      <w:r>
        <w:rPr>
          <w:rFonts w:ascii="Times New Roman" w:cs="Times New Roman" w:eastAsia="Times New Roman" w:hAnsi="Times New Roman"/>
          <w:sz w:val="18"/>
          <w:szCs w:val="18"/>
          <w:color w:val="auto"/>
        </w:rPr>
        <w:t>. Pursuant to the terms of the Schremser employment agreement, if Mr. Schremser’s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 by us without “cause” (as defined in the Schremser employment agreement) (but not as a result of Mr. Schremser’s death or disability) or (ii) for “good reason” (as defined in the Schremser employment agreement), Mr. Schremser will be entitled to receive the following severance payments and benefits:</w:t>
      </w:r>
    </w:p>
    <w:p>
      <w:pPr>
        <w:spacing w:after="0" w:line="182" w:lineRule="exact"/>
        <w:rPr>
          <w:sz w:val="20"/>
          <w:szCs w:val="20"/>
          <w:color w:val="auto"/>
        </w:rPr>
      </w:pPr>
    </w:p>
    <w:p>
      <w:pPr>
        <w:ind w:left="1000" w:right="300" w:hanging="317"/>
        <w:spacing w:after="0" w:line="29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12 months of Mr. Schremser’s then-current base salary, payable in equal monthly installments over 12 months following termination of employment;</w:t>
      </w:r>
    </w:p>
    <w:p>
      <w:pPr>
        <w:spacing w:after="0" w:line="162" w:lineRule="exact"/>
        <w:rPr>
          <w:rFonts w:ascii="Times New Roman" w:cs="Times New Roman" w:eastAsia="Times New Roman" w:hAnsi="Times New Roman"/>
          <w:sz w:val="18"/>
          <w:szCs w:val="18"/>
          <w:color w:val="auto"/>
        </w:rPr>
      </w:pPr>
    </w:p>
    <w:p>
      <w:pPr>
        <w:ind w:left="1000" w:right="220" w:hanging="317"/>
        <w:spacing w:after="0" w:line="29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incentive bonus, payable at the time that annual bonuses are paid in accordance with the terms of the applicable plan as if Mr. Schremser remained employed;</w:t>
      </w:r>
    </w:p>
    <w:p>
      <w:pPr>
        <w:spacing w:after="0" w:line="162" w:lineRule="exact"/>
        <w:rPr>
          <w:rFonts w:ascii="Times New Roman" w:cs="Times New Roman" w:eastAsia="Times New Roman" w:hAnsi="Times New Roman"/>
          <w:sz w:val="18"/>
          <w:szCs w:val="18"/>
          <w:color w:val="auto"/>
        </w:rPr>
      </w:pPr>
    </w:p>
    <w:p>
      <w:pPr>
        <w:jc w:val="both"/>
        <w:ind w:left="1000" w:right="180" w:hanging="317"/>
        <w:spacing w:after="0" w:line="329" w:lineRule="auto"/>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annual incentive bonus for the year of termination, based on actual performance, and payable at the time that annual bonuses are paid in accordance with the terms of the applicable plan as if Mr. Schremser remained employed; and</w:t>
      </w:r>
    </w:p>
    <w:p>
      <w:pPr>
        <w:spacing w:after="0" w:line="139" w:lineRule="exact"/>
        <w:rPr>
          <w:rFonts w:ascii="Times New Roman" w:cs="Times New Roman" w:eastAsia="Times New Roman" w:hAnsi="Times New Roman"/>
          <w:sz w:val="17"/>
          <w:szCs w:val="17"/>
          <w:color w:val="auto"/>
        </w:rPr>
      </w:pPr>
    </w:p>
    <w:p>
      <w:pPr>
        <w:ind w:left="1000" w:right="80" w:hanging="317"/>
        <w:spacing w:after="0" w:line="281"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Schremser timely elects continued coverage under COBRA, a monthly cash payment equal to monthly group health insurance premiums, at active employee rates, for 12 months following termination of employment or, if earlier, until the date on which Mr. Schremser is no longer eligible for COBRA coverage.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obligation to provide the severance payments and benefits described above are contingent upon Mr. Schremser’s</w:t>
      </w:r>
    </w:p>
    <w:p>
      <w:pPr>
        <w:spacing w:after="0" w:line="27" w:lineRule="exact"/>
        <w:rPr>
          <w:sz w:val="20"/>
          <w:szCs w:val="20"/>
          <w:color w:val="auto"/>
        </w:rPr>
      </w:pPr>
    </w:p>
    <w:p>
      <w:pPr>
        <w:ind w:right="60" w:firstLine="8"/>
        <w:spacing w:after="0" w:line="260" w:lineRule="auto"/>
        <w:tabs>
          <w:tab w:leader="none" w:pos="2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and non-revocation of a separation agreement containing a general release of claims and (ii) continued compliance with the provisions of the Schremser employment agreement (including the restrictive covenants).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Qualified Termination</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Matthew J. Hawkins</w:t>
      </w:r>
      <w:r>
        <w:rPr>
          <w:rFonts w:ascii="Times New Roman" w:cs="Times New Roman" w:eastAsia="Times New Roman" w:hAnsi="Times New Roman"/>
          <w:sz w:val="18"/>
          <w:szCs w:val="18"/>
          <w:color w:val="auto"/>
        </w:rPr>
        <w:t>. With respect to the stock options granted to Mr. Hawkins on October 23, 2019,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Mr. Hawkins’ employment by us without “cause,” by Mr. Hawkins for “good reason,” or as a result of Mr. Hawkins’ death or disability, (i) a pro-rata portion of the unvested time- vesting options that would otherwise vest on the next annual vesting date following such termination had Mr. Hawkins remained employed shall vest based on the number of days elapsed while Mr. Hawkins was actually employed during such annual vesting period and the remaining unvested time-vesting options will remain outstanding and eligible to vest in full upon the occurrence of a change of control within the six-month period following such termination, and (ii) the unvested performance-vesting options will remain outstanding and eligible to vest if a measurement date occurs within the six-month period following such termination and will vest to the extent that the applicable performance vesting conditions are achieved in connection with such measurement date. Any unvested time-vesting options and performance-vesting options that do not otherwise vest during such six-month period shall terminate and expire upon the expiration of such period.</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stock options granted to Mr. Hawkins on August 16, 2022, in the event of a termination of Mr. Hawkins’ employment by us without “cause,” by Mr. Hawkins for “good reason,” or as a result of Mr. Hawkins’ death or disability, (i) the unvested time-vesting options will remain outstanding and eligible to vest in full upon the occurrence of a change of control within the three-month period following such termination, and (ii) the unvested performance-vesting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time-vesting options and performance-vesting options that do not otherwise vest during such three-month period shall terminate and expire upon the expiration of such period.</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stock options granted to Mr. Hawkins on June 6, 2024, in the event of a termination of Mr. Hawkins’ employment by us without “cause,” by Mr. Hawkins for “good reason,” or as a result of Mr. Hawkins’ death or disability, (i) in each case, within the six-month period prior to, on or within the twenty- four-month period following a change in control, all then unvested options will vest in full and (ii) in each case, before the six-month period prior to or after the twenty-four-month period following a change in control, a pro-rata portion of the unvested options that would otherwise vest on the next annual vesting date following such termination had Mr. Hawkins remained employed shall vest based on the number of days elapsed while Mr. Hawkins was actually employed during such annual vesting period and the remaining unvested options will terminate and expire upon such termination.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restricted stock units granted to Mr. Hawkins on June 10, 2024, in the event of a termination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Hawkins’ employment by us without “cause,” by Mr. Hawkins for “good reason,” or as a result of Mr. Hawkins’ death or disability,</w:t>
      </w:r>
    </w:p>
    <w:p>
      <w:pPr>
        <w:spacing w:after="0" w:line="9" w:lineRule="exact"/>
        <w:rPr>
          <w:sz w:val="20"/>
          <w:szCs w:val="20"/>
          <w:color w:val="auto"/>
        </w:rPr>
      </w:pPr>
    </w:p>
    <w:p>
      <w:pPr>
        <w:jc w:val="both"/>
        <w:ind w:firstLine="8"/>
        <w:spacing w:after="0" w:line="250" w:lineRule="auto"/>
        <w:tabs>
          <w:tab w:leader="none" w:pos="2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within the six-month period prior to, on or within the twenty-four-month period following a change in control, all then unvested restricted stock units will vest in full and (ii) in each case, before the six-month period prior to or after the twenty-four-month period following a change in control, a pro-rata portion of the unvested restricted stock units that would otherwise vest on the next annual vesting date following such termination had Mr. Hawkins remained employed shall vest based on the number of days elapsed while</w:t>
      </w:r>
    </w:p>
    <w:p>
      <w:pPr>
        <w:spacing w:after="0" w:line="1" w:lineRule="exact"/>
        <w:rPr>
          <w:rFonts w:ascii="Times New Roman" w:cs="Times New Roman" w:eastAsia="Times New Roman" w:hAnsi="Times New Roman"/>
          <w:sz w:val="18"/>
          <w:szCs w:val="18"/>
          <w:color w:val="auto"/>
        </w:rPr>
      </w:pPr>
    </w:p>
    <w:p>
      <w:pPr>
        <w:ind w:righ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Hawkins was actually employed during such annual vesting period and the remaining unvested restricted stock units will immediately be forfeited for no consideration upon such termination.</w:t>
      </w:r>
    </w:p>
    <w:p>
      <w:pPr>
        <w:spacing w:after="0" w:line="1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Eric L. (Ric) Sinclair III</w:t>
      </w:r>
      <w:r>
        <w:rPr>
          <w:rFonts w:ascii="Times New Roman" w:cs="Times New Roman" w:eastAsia="Times New Roman" w:hAnsi="Times New Roman"/>
          <w:sz w:val="18"/>
          <w:szCs w:val="18"/>
          <w:color w:val="auto"/>
        </w:rPr>
        <w:t>. With respect to the stock options granted to Mr. Sinclair on October 23, 2019, August 9,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in the event of a termination of Mr. Sinclair’s employment by us without “cause,” by Mr. Sinclair for “good reason,” or as a result of Mr. Sinclair’s death or disability, (i) the unvested time-vesting options will remain outstanding and eligible to vest upon the occurrence of a change of control within the three-month period following such termination, and (ii) the unvested performance- 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time-vesting options and performance-vesting options that do not otherwise vest during such three-month period shall terminate and expire upon the expiration of such period.</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stock options granted to Mr. Sinclair on June 6, 2024, in the event of a termination of Mr. Sinclair’s employment by us without “cause,” by Mr. Sinclair for “good reason,” or as a result of Mr. Sinclair’s death or disability, in each case, within the six-month period prior to, on or within the twenty- four-month period following a change in control, all then unvested options will vest in full.</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restricted stock units granted to Mr. Sinclair on June 10, 2024, in the event of a termination of Mr. Sinclair’s employment by us without “cause,” by Mr. Sinclair for “good reason,” or as a result of Mr. Sinclair’s death or disability, in each case, within the six-month period prior to, on or within the twenty-four-month period following a change in control, all then unvested restricted stock units will vest in full.</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Christopher L. Schremser. With respect to the stock options granted to Mr. Schremser on October 23, 2019, August 9, 2020, and August 16, 2022, in the event of a termination of Mr. Schremser’s employment by us without “cause,” by Mr. Schremser for “good reason,” or as a result of Mr. Schremser’s death or disability, (i) the unvested time-vesting options will remain outstanding and eligible to vest upon the occurrence of a change of control within the three-month period following the termination, and (ii) the unvested performance-vesting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 vesting options and performance-vesting options that do not otherwise vest during such three-month period shall terminate and expire upon the expiration of such period.</w:t>
      </w:r>
    </w:p>
    <w:p>
      <w:pPr>
        <w:spacing w:after="0" w:line="192"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stock options granted to Mr. Schremser on June 6, 2024, in the event of a termination of Mr. Schremser’s employment by us without “cause,” by Mr. Schremser for “good reason,” or as a result of Mr. Schremser’s death or disability, in each case, within the six-month period prior to, on or within the twenty-four-month period following a change in control, all then unvested options will vest in full.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restricted stock units granted to Mr. Schremser on June 10, 2024, in the event of a termination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Schremser’s employment by us without “cause,” by Mr. Schremser for “good reason,” or as a result of Mr. Schremser’s death or disability, in each case, within the six-month period prior to, on or within the twenty-four-month period following a change in control, all then unvested restricted stock units will vest in full.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of the Hawkins, Sinclair, and Schremser option agreements under the 2019 Stock Incentive Plan provide that, if a change of control occurs during the named executive officer’s employment (i) the unvested time-vesting options will become fully vested and exercisable immediately prior to the change of control and (ii) all of the performance vesting options that do not vest on or before a change of control or the date upon which the investment vehicles affiliated with EQT, CPPIB, and Bain no longer collectively holds shares of our common stock representing more than ten percent of the outstanding shares of our common stock will be forfeited upon such change of control or date upon which the sponsor group no longer collectively holds shares of our common stock representing more than ten percent of the outstanding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Matthew J. Hawkins</w:t>
      </w:r>
      <w:r>
        <w:rPr>
          <w:rFonts w:ascii="Times New Roman" w:cs="Times New Roman" w:eastAsia="Times New Roman" w:hAnsi="Times New Roman"/>
          <w:sz w:val="18"/>
          <w:szCs w:val="18"/>
          <w:color w:val="auto"/>
        </w:rPr>
        <w:t>. The Hawkins employment agreement contains restrictive covenants, including confidentiality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assignment of intellectual property, non-competition, employee no-hire, employee and independent contractor non-solicitation, and client, customer, and other business partner non- solicitation covenants. The confidentiality covenant has an indefinite term. The noncompetition and non- solicitation covenants are effective both during Mr. Hawkins’ employment with us and until the 18-month anniversary of termination of employment for any reason.</w:t>
      </w:r>
    </w:p>
    <w:p>
      <w:pPr>
        <w:spacing w:after="0" w:line="183"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Eric L. (Ric) Sinclair III</w:t>
      </w:r>
      <w:r>
        <w:rPr>
          <w:rFonts w:ascii="Times New Roman" w:cs="Times New Roman" w:eastAsia="Times New Roman" w:hAnsi="Times New Roman"/>
          <w:sz w:val="18"/>
          <w:szCs w:val="18"/>
          <w:color w:val="auto"/>
        </w:rPr>
        <w:t>. The Sinclair employment agreement contains restrictive covenants, including confidentiality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assignment of intellectual property, non-competition, employee no-hire, employee and independent contractor non-solicitation, business partner and customer non- solicitation, and non-disparagement covenants. The confidentiality and non-disparagement covenants have an indefinite term. The noncompetition and non-solicitation covenants are effective both during Mr. Sinclair’s employment with us and until the 12-month anniversary of termination of employment for any reason.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Christopher L. Schremser</w:t>
      </w:r>
      <w:r>
        <w:rPr>
          <w:rFonts w:ascii="Times New Roman" w:cs="Times New Roman" w:eastAsia="Times New Roman" w:hAnsi="Times New Roman"/>
          <w:sz w:val="18"/>
          <w:szCs w:val="18"/>
          <w:color w:val="auto"/>
        </w:rPr>
        <w:t>. The Schremser employment agreement contains restrictive covenants, including confidentiality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assignment of intellectual property, non-competition, employee no-hire, employee and independent contractor non-solicitation, business partner and customer non- solicitation, and non-disparagement covenants. The confidentiality and non-disparagement covenants have an indefinite term. The noncompetition and non-solicitation covenants are effective both during Mr. Schremser’s employment with us and until the 12-month anniversary of termination of employment for any reason.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maintain a tax-qualified defined contribution 401(k) savings plan (the “401(k) Plan”), in which all employees, including our named executive officers, are eligible to participate. The 401(k) Plan allows participants to contribute up to 75% of their compensation on a pre-tax basis (or on a post-tax basis, with respect to elective Roth deferrals) into individual retirement accounts, subject to the maximum annual limits set by the Internal Revenue Service. The 401(k) Plan also allows us to make employer matching contributions. We have historically made employer matching contributions of up to 50% of our employees’ elective deferrals, limited to the first 8% of each employee’s compensation. Participants are immediately fully vested in their own contributions to the 401(k) Plan. Participants vest in the matching contributions we make to their accounts after 3 years of service, at the rate of 33 1∕3%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paid non-management and non-sponsor affiliated board members a cash retainer for their services as members of our board of directors. Our board members are reimbursed for reasonable travel and related expenses associated with attendance at board or committee meetings.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our non-sponsor affiliated non-employee directors for services rendered to us during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53"/>
              <w:spacing w:after="0" w:line="15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95"/>
              <w:spacing w:after="0" w:line="151"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95"/>
              <w:spacing w:after="0" w:line="151"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Ursula Burns</w:t>
            </w:r>
            <w:r>
              <w:rPr>
                <w:rFonts w:ascii="Times New Roman" w:cs="Times New Roman" w:eastAsia="Times New Roman" w:hAnsi="Times New Roman"/>
                <w:sz w:val="24"/>
                <w:szCs w:val="24"/>
                <w:color w:val="auto"/>
                <w:vertAlign w:val="superscript"/>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Robert DeMichiei</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Douglas</w:t>
            </w:r>
            <w:r>
              <w:rPr>
                <w:rFonts w:ascii="Times New Roman" w:cs="Times New Roman" w:eastAsia="Times New Roman" w:hAnsi="Times New Roman"/>
                <w:sz w:val="25"/>
                <w:szCs w:val="25"/>
                <w:color w:val="auto"/>
                <w:vertAlign w:val="superscript"/>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John Driscoll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345,693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Priscilla Hung</w:t>
            </w:r>
            <w:r>
              <w:rPr>
                <w:rFonts w:ascii="Times New Roman" w:cs="Times New Roman" w:eastAsia="Times New Roman" w:hAnsi="Times New Roman"/>
                <w:sz w:val="25"/>
                <w:szCs w:val="25"/>
                <w:color w:val="auto"/>
                <w:vertAlign w:val="superscript"/>
              </w:rPr>
              <w:t>(5)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695,596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Eric Liu</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Paul Moskowitz</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Vivian E. Riefberg</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256,109</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Ethan Waxman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8" w:lineRule="exact"/>
        <w:rPr>
          <w:sz w:val="20"/>
          <w:szCs w:val="20"/>
          <w:color w:val="auto"/>
        </w:rPr>
      </w:pPr>
    </w:p>
    <w:p>
      <w:pPr>
        <w:ind w:left="340" w:right="80" w:hanging="332"/>
        <w:spacing w:after="0" w:line="271" w:lineRule="auto"/>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the time-based vesting stock options awarded to Ms. Hung in 2024, calculated in accordance with Topic 718, utilizing the assumptions discussed in Note 16 of our financial statements included elsewhere in this report. As of December 31, 2024, Mr. Driscoll held options to purchase 241,999 shares of our common stock; Ms. Miller and Mr. DeMichiei each held options to purchase 80,050 shares of our common stock; and Ms. Riefberg and Ms. Hung each held options to purchase 24,200 shares of our common stock.</w:t>
      </w:r>
    </w:p>
    <w:p>
      <w:pPr>
        <w:spacing w:after="0" w:line="1" w:lineRule="exact"/>
        <w:rPr>
          <w:rFonts w:ascii="Times New Roman" w:cs="Times New Roman" w:eastAsia="Times New Roman" w:hAnsi="Times New Roman"/>
          <w:sz w:val="14"/>
          <w:szCs w:val="14"/>
          <w:color w:val="auto"/>
        </w:rPr>
      </w:pPr>
    </w:p>
    <w:p>
      <w:pPr>
        <w:ind w:left="340" w:right="100" w:hanging="332"/>
        <w:spacing w:after="0" w:line="275" w:lineRule="auto"/>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the time-based vesting restricted stock units awarded to our non-employee directors who is not employed by any of the Institutional Investors, calculated in accordance with Topic 718, utilizing the assumptions discussed in Note 16 of our audited financial statements included elsewhere in this report.</w:t>
      </w: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Burns stepped down from our board of directors in February 2024.</w:t>
      </w:r>
    </w:p>
    <w:p>
      <w:pPr>
        <w:spacing w:after="0" w:line="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Douglas stepped down from our board of directors in April 2024.</w:t>
      </w:r>
    </w:p>
    <w:p>
      <w:pPr>
        <w:spacing w:after="0" w:line="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Hung was appointed as a director in February 2024.</w:t>
      </w:r>
    </w:p>
    <w:p>
      <w:pPr>
        <w:spacing w:after="0" w:line="2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granted to each of our non-employee directors who is not employed by any of the Institutional Investors an IPO equity award of 8,695 restricted stock units under the 2024 Equity Incentive Plan. The restricted stock units were granted upon the completion of our initial public offering and will vest on the date of the first annual meeting of the Company’s stockholders following the date of grant, subject to the non-employee director’s continued service on our board of directors through such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Effective upon the consummation of our initial public offering, we adopted an annual compensation policy covering each of our non-employee directors. Under this policy, each of our non-employee directors who is not employed by any of the Institutional Investors will receive (i) an annual cash retainer fee of $50,000, payable in equal quarterly installments and (ii) an annual equity retainer of restricted stock units with an initial value of approximately $200,000. The restricted stock units will be granted on the date of our annual meeting of stockholders and will vest on the first anniversary of the date of grant or the business day immediately preceding the date of the following year’s annual meeting of stockholders, if earlier, subject to the non-employee director’s continued service on our board of directors through such date. In addition, the non-executive chair of the board will receive an additional $100,000 cash retainer, the chair and the members of the Audit, Compliance, &amp; Risk Committee will receive an additional cash retainer of $25,000 and $15,000, respectively, the chair and the members of the Talent &amp; Compensation Committee will receive an additional cash retainer of $20,000 and $10,000, respectively, and the Nominating and Corporate Governance Committee will receive an additional cash retainer of $15,000 and $5,000, respectively, each of which will be payable in equal quarterly installments.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Deferral Plan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adopted a Non-Employee Director Deferral Plan prior to the completion of our initial public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directors who are not employees of the Company will be eligible to participate in the Non-Employee Director Deferral Plan.</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Deferral elections. Under the terms of the Non-Employee Director Deferral Plan, our non-employee directors may elect to defer all or a portion of their annual cash compensation and/or all of the Company shares issued upon settlement of their annual restricted stock unit award, in each case, in 25% increments, in the form of deferred stock units credited to an account maintained by the Company. The number of deferred stock units credited in respect of annual cash compensation is determined by dividing the dollar amount of the deferred cash compensation by the fair market value of a share of the Company’s common stock on the date the cash compensation would otherwise have been paid to the director. Deferred stock units will be awarded from, and subject to the terms of, the 2024 Equity Incentive Plan.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Each deferred stock unit represents the right to receive a number of shares of our common stock equal to the number of deferred stock units initially credited to the director’s account plus the number of deferred stock units credited as a result of any dividend equivalent rights (to which deferred stock units initially credited to a director’s account are entitled).</w:t>
      </w:r>
    </w:p>
    <w:p>
      <w:pPr>
        <w:spacing w:after="0" w:line="17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Settlement of deferred stock units</w:t>
      </w:r>
      <w:r>
        <w:rPr>
          <w:rFonts w:ascii="Times New Roman" w:cs="Times New Roman" w:eastAsia="Times New Roman" w:hAnsi="Times New Roman"/>
          <w:sz w:val="18"/>
          <w:szCs w:val="18"/>
          <w:color w:val="auto"/>
        </w:rPr>
        <w:t>. Directors may elect that settlement of deferred stock units be made or commence on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business day in a year following the year for which the deferral is made, (ii) following termination of service on our board of directors or (iii) the earlier of (i) or (ii). Directors may elect that deferred stock units be settled in a single one-time distribution or in a series of up to 15 annual installments. In addition, deferred stock unit accounts will be settled upon a “change in control” (as defined in the 2024 Equity Incentive Plan) or upon a director’s death.</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 amendment and termination</w:t>
      </w:r>
      <w:r>
        <w:rPr>
          <w:rFonts w:ascii="Times New Roman" w:cs="Times New Roman" w:eastAsia="Times New Roman" w:hAnsi="Times New Roman"/>
          <w:sz w:val="18"/>
          <w:szCs w:val="18"/>
          <w:color w:val="auto"/>
        </w:rPr>
        <w:t>. Our Talent &amp; Compensation Committee will administer the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Deferral Plan. The Non-Employee Director Deferral Plan or any deferral may be amended, suspended, discontinued by our Talent &amp; Compensation Committee at any time in the Talent &amp; Compensation Committee’s discretion; provided that no amendment, suspension or discontinuance will reduce any director’s accrued benefit, except as required to comply with applicable law. Our Talent &amp; Compensation Committee may terminate the Non-Employee Director Deferral Plan at any time, as long as the termination complies with applicable tax and other requirements.</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Regulation S-K is incorporated by reference from the definitive proxy statement for our 2025 annual meeting of shareholders, which will be filed no later than 120 days after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for our 2025 annual meeting of shareholders, which will be filed no later than 120 days after December 31, 2024.</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are party to an amended and restated registration rights agreement with EQT, CPPIB, Bain, and certain equity holders, including members of management.</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amended and restated registration rights agreement contains provisions that entitle EQT, CPPIB, Bain, and the other stockholder parties thereto, including members of management, to certain rights to have their securities registered by us under the Securities Act. EQT is entitled to an unlimited number of “demand” registrations and CPPIB and Bain are each entitled to three “demand” registrations, subject to certain limitations. Certain stockholders are also entitled to customary “piggyback” registration rights. In addition, the amended and restated registration rights agreement provides that we will pay certain expenses of the stockholder parties relating to such registrations and indemnify them against certain liabilities which may arise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are party to the Stockholders Agreement with EQT, CPPIB, Bain, and certain equity holders, including members of management.</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Stockholders Agreement and our certificate of incorporation provide that our board of directors will consist of ten members. EQT will have the right to nominate to our board of directors (i) two nominees for so long as EQT beneficially owns 25% or greater of our then-outstanding common stock, and (ii) one nominee for so long as EQT beneficially owns 5% or greater, but less than 25% of our then-outstanding common stock. CPPIB will have the right to nominate to our board of directors one nominee for so long as CPPIB beneficially owns 5% or greater of our then-outstanding common stock. Bain will have the right to nominate to our board of directors one nominee for so long as Bain beneficially owns 5% or greater of our then-outstanding common stock. EQT will have the right to designate the chairperson of our board of directors for so long as it beneficially owns at least 20% of our then-outstanding common stock, with the consent of CPPIB (not to be unreasonably withheld). For so long as CPPIB beneficially owns 10% or greater of our then-outstanding common stock, CPPIB will have the right to appoint one non-voting board observer, who will have the right to attend all meetings in a non-voting, observer capacity. In addition, our board of directors is divided into three classes and serve staggered, three year terms until the second annual meeting of stockholders after the date on which EQT, CPPIB, and Bain collectively own less than 15% in voting power of the then-outstanding power of the then-outstanding shares of stock of our Company entitled to vote generally in the election of directors, after which the board will no longer be divided into three classes. Furthermore, if any representatives of EQT serve on any boards or committees of our subsidiaries, CPPIB and Bain will have an equivalent right such that the board of directors of such subsidiary or committee thereof reflects, to the maximum extent possible, the composition of our board of directors and its committees as required under the Stockholders Agreement.</w:t>
      </w:r>
    </w:p>
    <w:p>
      <w:pPr>
        <w:spacing w:after="0" w:line="19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laws and stock exchange regulations, and subject to requisite independence requirements applicable to such committee, the Stockholders Agreement and our certificate of incorporation provide that for so long as EQT, CPPIB, and Bain collectively beneficially own 5% or greater of our then- outstanding common stock, (i) the Bain director nominee will be appointed to serve on the Audit, Compliance, &amp; Risk Committee, (ii) the CPPIB director nominee and one EQT director nominee will be appointed to serve on the Talent &amp; Compensation Committee, and (iii) the CPPIB director nominee and one EQT director nominee will be appointed to serve on the Nominating and Corporate Governance Committee.</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Pursuant to the Stockholders Agreement, we will include the EQT, CPPIB, and Bain nominees on the slate that is included in our proxy statement relating to the election of directors of the class to which such persons belong, subject to the ownership thresholds described above. In addition, pursuant to the Stockholders Agreement, EQT, CPPIB, and Bain will agree, severally and not jointly, with the Company to vote in favor of the Company slate that is included in our proxy statement.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an EQT, CPPIB, or Bain nominee ceases to serve as a director for any reason (other than the failure of our stockholders to elect such individual as a director), EQT, CPPIB, or Bain, as applicable, will be entitled to appoint another nominee to fill the resulting vacancy.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Lien Credit Facility</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Affiliates of Bain and CPPIB are lenders under our First Lien Credit Facility. For the year ended December 31, 2024, the largest aggregate amount of principal outstanding that was owed to Bain under the First Lien Credit Facility was $32.4 million, which bore interest at a rate of 2.25% per annum above the SOFR rate, and the Company paid $15.2 million in principal and $3.9 million in interest. For the year ended December 31, 2023, the largest aggregate amount of principal outstanding that was owed to Bain under the First Lien Credit Facility was $47.5 million, which, as of December 31, 2023, bore interest at a rate of 4.11% per annum above the SOFR rate, and the Company paid $0.8 million in principal and $4.9 million in interest. For the year ended December 31, 2022, the largest aggregate amount of principal outstanding that was owed to Bain under the First Lien Credit Facility was $60.2 million, which, as of December 31, 2022, bore interest at a rate of 4.00% per annum above the LIBOR rate, and the Company paid $0.6 million in principal and $3.5 million in interest. As of December 31, 2024, $32.4 million in aggregate principal amount of term loans under the First Lien Credit Facility that was owed to Bain remained outstanding.</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the largest aggregate amount of principal outstanding that was owed to CPPIB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Credit Facility was $17.7 million, which bore interest at a rate of 2.25% per annum above the SOFR rate,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$14.6 million in principal and $0.6 million in interest. Following the refinancing of the First Lien Credit Facility in February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CPPIB no longer holds any of the loans under the First Lien Credit Facility. For the year ended December 31, 2023, the largest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principal outstanding that was owed to CPPIB under the First Lien Credit Facility was $17.7 million, which,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bore interest at a rate of 4.11% per annum above the SOFR rate, and the Company paid $0.4 million in principal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million in interest. For the year ended December 31, 2022, the largest aggregate amount of principal outstanding that was owed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CPPIB under the First Lien Credit Facility was $49.0 million, which, as of December 31, 2022, bore interest at a rate of 4.00%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above the LIBOR rate, and the Company paid $0.4 million in principal and $2.8 million in interest.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million in aggregate principal amount of term loans under the First Lien Credit Facility that was owed to CPPIB remained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p>
      <w:pPr>
        <w:spacing w:after="0" w:line="126" w:lineRule="exact"/>
        <w:rPr>
          <w:sz w:val="20"/>
          <w:szCs w:val="20"/>
          <w:color w:val="auto"/>
        </w:rPr>
      </w:pPr>
    </w:p>
    <w:p>
      <w:pPr>
        <w:ind w:right="320" w:firstLine="648"/>
        <w:spacing w:after="0" w:line="422" w:lineRule="auto"/>
        <w:rPr>
          <w:sz w:val="20"/>
          <w:szCs w:val="20"/>
          <w:color w:val="auto"/>
        </w:rPr>
      </w:pPr>
      <w:r>
        <w:rPr>
          <w:rFonts w:ascii="Times New Roman" w:cs="Times New Roman" w:eastAsia="Times New Roman" w:hAnsi="Times New Roman"/>
          <w:sz w:val="18"/>
          <w:szCs w:val="18"/>
          <w:color w:val="auto"/>
        </w:rPr>
        <w:t xml:space="preserve">Affiliates of Bain received $28.8 million from the proceeds of our IPO that were used to repay the First Lien Credit Facility. </w:t>
      </w:r>
      <w:r>
        <w:rPr>
          <w:rFonts w:ascii="Times New Roman" w:cs="Times New Roman" w:eastAsia="Times New Roman" w:hAnsi="Times New Roman"/>
          <w:sz w:val="18"/>
          <w:szCs w:val="18"/>
          <w:b w:val="1"/>
          <w:bCs w:val="1"/>
          <w:color w:val="auto"/>
        </w:rPr>
        <w:t>Other Related Party Transactions</w:t>
      </w:r>
    </w:p>
    <w:p>
      <w:pPr>
        <w:spacing w:after="0" w:line="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commercial transactions in the ordinary course of business with companies in which Bain and CPPIB have ownership interests:</w:t>
      </w:r>
    </w:p>
    <w:p>
      <w:pPr>
        <w:spacing w:after="0" w:line="81" w:lineRule="exact"/>
        <w:rPr>
          <w:sz w:val="20"/>
          <w:szCs w:val="20"/>
          <w:color w:val="auto"/>
        </w:rPr>
      </w:pPr>
    </w:p>
    <w:p>
      <w:pPr>
        <w:jc w:val="both"/>
        <w:ind w:left="1000" w:hanging="317"/>
        <w:spacing w:after="0" w:line="27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 operating lease agreement with Parkway Properties, under which we lease office space in Houston, Texas from Parkway Properties. CPPIB beneficially owns greater than 10% of Parkway Properties. We paid approximately $0.2 million, $0.3 million, and $0.2 million to Parkway Properties for the years ended December 31, 2024, 2023, and 2022, respectively.</w:t>
      </w:r>
    </w:p>
    <w:p>
      <w:pPr>
        <w:spacing w:after="0" w:line="114" w:lineRule="exact"/>
        <w:rPr>
          <w:rFonts w:ascii="Times New Roman" w:cs="Times New Roman" w:eastAsia="Times New Roman" w:hAnsi="Times New Roman"/>
          <w:sz w:val="18"/>
          <w:szCs w:val="18"/>
          <w:color w:val="auto"/>
        </w:rPr>
      </w:pPr>
    </w:p>
    <w:p>
      <w:pPr>
        <w:ind w:left="1000" w:right="100" w:hanging="317"/>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Aveanna Healthcare, LLC, Surgery Partners Holdings LLC, Innovacare, Athena Therapy, and US Renal Care are our clients to whom we provide software solutions. Bain beneficially owns greater than 10% of each of Aveanna Healthcare, LLC, Surgery Partners Holdings LLC, Innovacare, Athena Therapy, and US Renal Care. We received approximately $0.3 million, $0.3 million, and $0.3 million from Aveanna Healthcare, LLC for the years ended December 31, 2024, 2023, and 2022, respectively. We received approximately $1.0 million, $ 0.8 million, and $0.8 million from Surgery Partners Holdings LLC for the years ended December 31, 2024, 2023, and 2022, respectively. We received approximately $0.2 million, $0.2 million, and $0.2 million from Innovacare for the years ended December 31, 2024, 2023, and 2022, respectively. We received approximately $0.1 million, $0.1 million, and $0.1 million from Athena Therapy for the years ended December 31, 2024, 2023, and 2022, respectively. We received approximately $0.3 million from US Renal Care for the years ended December 31, 2024.</w:t>
      </w:r>
    </w:p>
    <w:p>
      <w:pPr>
        <w:spacing w:after="0" w:line="127" w:lineRule="exact"/>
        <w:rPr>
          <w:rFonts w:ascii="Times New Roman" w:cs="Times New Roman" w:eastAsia="Times New Roman" w:hAnsi="Times New Roman"/>
          <w:sz w:val="18"/>
          <w:szCs w:val="18"/>
          <w:color w:val="auto"/>
        </w:rPr>
      </w:pPr>
    </w:p>
    <w:p>
      <w:pPr>
        <w:ind w:left="1000" w:right="40" w:hanging="317"/>
        <w:spacing w:after="0" w:line="271"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Rocket Software and Fidelity Information Services are vendors that provide us with software solutions. Bain beneficially owns greater than 10% of each of Rocket Software and Fidelity Information Services. We paid approximately $0.4 million, $0.4 million, and $0.4 million to Rocket Software for the years ended December 31, 2024, 2023, and 2022, respectively. We paid approximately $1.6 million to Fidelity Information Services for the year ended December 31,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together with our amended and restated bylaws, provide that we will jointly and severally indemnify each indemnitee to the fullest extent permitted by the DGCL from and against all loss and liability suffered and expenses, judgments, fines, and amounts paid in settlement actually and reasonably incurred by or on behalf of the indemnitee in connection with any threatened, pending, or completed action, suit, or proceeding. Additionally, we have agreed to advance to the indemnitee all out-of-pocket costs of any type or nature whatsoever incurred in connection therewith.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Persons Transaction Policy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policy on transactions with related persons, which we refer to as our “related person policy.” Our related person policy requires that all “related persons”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communicate that information to our board of directors or to a duly authorized committee thereof. Our related person policy provides that no related person transaction entered into following the completion of our initial public offering will be executed without the approval or ratification of our board of directors or a duly authorized committee thereof. It is our policy that any directors interested in a related person transaction must recuse themselves from any vote on a related person transaction in which they have an interest.</w:t>
      </w:r>
    </w:p>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for our 2025 annual meeting of shareholders, which will be filed no later than 120 days after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90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5260" w:type="dxa"/>
            <w:vAlign w:val="bottom"/>
            <w:gridSpan w:val="2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140" w:type="dxa"/>
            <w:vAlign w:val="bottom"/>
            <w:gridSpan w:val="30"/>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60" w:type="dxa"/>
            <w:vAlign w:val="bottom"/>
            <w:gridSpan w:val="26"/>
            <w:vMerge w:val="restart"/>
          </w:tcPr>
          <w:p>
            <w:pPr>
              <w:jc w:val="center"/>
              <w:ind w:right="29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60" w:type="dxa"/>
            <w:vAlign w:val="bottom"/>
            <w:gridSpan w:val="26"/>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top w:val="single" w:sz="8" w:color="auto"/>
              <w:bottom w:val="single" w:sz="8" w:color="0000EE"/>
            </w:tcBorders>
            <w:gridSpan w:val="25"/>
          </w:tcPr>
          <w:p>
            <w:pPr>
              <w:spacing w:after="0" w:line="169"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Amended and Restated Certificate of Incorporation of Waystar Holding Corp. (incorporated by reference to</w:t>
              </w:r>
            </w:hyperlink>
          </w:p>
        </w:tc>
        <w:tc>
          <w:tcPr>
            <w:tcW w:w="40" w:type="dxa"/>
            <w:vAlign w:val="bottom"/>
            <w:tcBorders>
              <w:top w:val="single" w:sz="8" w:color="auto"/>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Exhibit 4.1 to the Company’s Registration Statement on Form S-8 filed on June 10, 2024).</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7980" w:type="dxa"/>
            <w:vAlign w:val="bottom"/>
            <w:gridSpan w:val="2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Amended and Restated Bylaws of Waystar Holding Corp. (incorporated by reference to Exhibit 4.2 to the</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Company’s Registration Statement on Form S-8 filed on June 10, 2024).</w:t>
              </w:r>
            </w:hyperlink>
          </w:p>
        </w:tc>
        <w:tc>
          <w:tcPr>
            <w:tcW w:w="38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7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Securities Registered pursuant to Section 12 of the Securities Exchange Act of 1934.</w:t>
            </w:r>
          </w:p>
        </w:tc>
        <w:tc>
          <w:tcPr>
            <w:tcW w:w="780" w:type="dxa"/>
            <w:vAlign w:val="bottom"/>
            <w:gridSpan w:val="18"/>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7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Stockholders Agreement among Waystar Holding Corp. and the other parties named therein, dated as of</w:t>
              </w:r>
            </w:hyperlink>
          </w:p>
        </w:tc>
        <w:tc>
          <w:tcPr>
            <w:tcW w:w="480" w:type="dxa"/>
            <w:vAlign w:val="bottom"/>
            <w:gridSpan w:val="14"/>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June 10, 2024 (incorporated by reference to Exhibit 10.1 to the Company’s Current Report on Form 8-K</w:t>
              </w:r>
            </w:hyperlink>
          </w:p>
        </w:tc>
        <w:tc>
          <w:tcPr>
            <w:tcW w:w="46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filed with the SEC on June 12, 2024).</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7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Registration Rights Agreement by and among Waystar Holding Corp. and the other</w:t>
              </w:r>
            </w:hyperlink>
          </w:p>
        </w:tc>
        <w:tc>
          <w:tcPr>
            <w:tcW w:w="24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parties named therein, dated as of June 10, 2024 (incorporated by reference to Exhibit 10.2 to the</w:t>
              </w:r>
            </w:hyperlink>
          </w:p>
        </w:tc>
        <w:tc>
          <w:tcPr>
            <w:tcW w:w="980" w:type="dxa"/>
            <w:vAlign w:val="bottom"/>
            <w:gridSpan w:val="21"/>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Company’s Current Report on Form 8-K filed with the SEC on June 12, 2024).</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First Lien Credit Agreement, dated as of October 22, 2019, among Derby Merger Sub, Inc., BNVC Group</w:t>
              </w:r>
            </w:hyperlink>
          </w:p>
        </w:tc>
        <w:tc>
          <w:tcPr>
            <w:tcW w:w="32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Holdings, Inc., Waystar Technologies, Inc. (f/k/a Navicure, Inc.), Derby Parent, Inc., BNVC Holdings, Inc.,</w:t>
              </w:r>
            </w:hyperlink>
          </w:p>
        </w:tc>
        <w:tc>
          <w:tcPr>
            <w:tcW w:w="2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JPMorgan Chase Bank, N.A., as Administrative Agent, Collateral Agent, and Issuing Bank, Barclays Bank</w:t>
              </w:r>
            </w:hyperlink>
          </w:p>
        </w:tc>
        <w:tc>
          <w:tcPr>
            <w:tcW w:w="26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PLC, as Issuing Bank, Deutsche Bank AG New York Branch, as Issuing Bank, and each lender from time</w:t>
              </w:r>
            </w:hyperlink>
          </w:p>
        </w:tc>
        <w:tc>
          <w:tcPr>
            <w:tcW w:w="36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to time party thereto (incorporated by reference to Exhibit 10.3 to Amendment No. 7 to the Company’s</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Registration Statement on Form S-1 (File No. 333-275004) filed with the SEC on May 28, 2024).</w:t>
              </w:r>
            </w:hyperlink>
          </w:p>
        </w:tc>
        <w:tc>
          <w:tcPr>
            <w:tcW w:w="380" w:type="dxa"/>
            <w:vAlign w:val="bottom"/>
            <w:tcBorders>
              <w:top w:val="single" w:sz="8" w:color="0000EE"/>
            </w:tcBorders>
            <w:gridSpan w:val="5"/>
          </w:tcPr>
          <w:p>
            <w:pPr>
              <w:spacing w:after="0"/>
              <w:rPr>
                <w:sz w:val="17"/>
                <w:szCs w:val="17"/>
                <w:color w:val="auto"/>
              </w:rPr>
            </w:pPr>
          </w:p>
        </w:tc>
        <w:tc>
          <w:tcPr>
            <w:tcW w:w="5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7980" w:type="dxa"/>
            <w:vAlign w:val="bottom"/>
            <w:gridSpan w:val="29"/>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First Amendment, dated as of December 2, 2019, to the First Lien Credit Agreement, among BNVC</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48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44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by reference to Exhibit 10.4 to Amendment No. 7 to the Company’s Registration Statement on Form S-1</w:t>
              </w:r>
            </w:hyperlink>
          </w:p>
        </w:tc>
        <w:tc>
          <w:tcPr>
            <w:tcW w:w="40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(File No. 333-275004) filed with the SEC on May 28, 2024).</w:t>
              </w:r>
            </w:hyperlink>
          </w:p>
        </w:tc>
        <w:tc>
          <w:tcPr>
            <w:tcW w:w="35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7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Second Amendment, dated as of September 23, 2020, to the First Lien Credit Agreement, among BNVC</w:t>
              </w:r>
            </w:hyperlink>
          </w:p>
        </w:tc>
        <w:tc>
          <w:tcPr>
            <w:tcW w:w="42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48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44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10"/>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by reference to Exhibit 10.5 to Amendment No. 7 to the Company’s Registration Statement on Form S-1</w:t>
              </w:r>
            </w:hyperlink>
          </w:p>
        </w:tc>
        <w:tc>
          <w:tcPr>
            <w:tcW w:w="40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(File No. 333-275004) filed with the SEC on May 28, 2024).</w:t>
              </w:r>
            </w:hyperlink>
          </w:p>
        </w:tc>
        <w:tc>
          <w:tcPr>
            <w:tcW w:w="35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7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Third Amendment, dated as of March 24, 2021, to the First Lien Credit Agreement, among BNVC</w:t>
              </w:r>
            </w:hyperlink>
          </w:p>
        </w:tc>
        <w:tc>
          <w:tcPr>
            <w:tcW w:w="860" w:type="dxa"/>
            <w:vAlign w:val="bottom"/>
            <w:gridSpan w:val="19"/>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48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44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40" w:type="dxa"/>
            <w:vAlign w:val="bottom"/>
            <w:gridSpan w:val="13"/>
            <w:shd w:val="clear" w:color="auto" w:fill="0000EE"/>
          </w:tcPr>
          <w:p>
            <w:pPr>
              <w:spacing w:after="0" w:line="20" w:lineRule="exact"/>
              <w:rPr>
                <w:sz w:val="1"/>
                <w:szCs w:val="1"/>
                <w:color w:val="auto"/>
              </w:rPr>
            </w:pPr>
          </w:p>
        </w:tc>
        <w:tc>
          <w:tcPr>
            <w:tcW w:w="460" w:type="dxa"/>
            <w:vAlign w:val="bottom"/>
            <w:gridSpan w:val="10"/>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by reference to Exhibit 10.6 to Amendment No. 7 to the Company’s Registration Statement on Form S-1</w:t>
              </w:r>
            </w:hyperlink>
          </w:p>
        </w:tc>
        <w:tc>
          <w:tcPr>
            <w:tcW w:w="40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(File No. 333-275004) filed with the SEC on May 28, 2024).</w:t>
              </w:r>
            </w:hyperlink>
          </w:p>
        </w:tc>
        <w:tc>
          <w:tcPr>
            <w:tcW w:w="35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7980" w:type="dxa"/>
            <w:vAlign w:val="bottom"/>
            <w:gridSpan w:val="29"/>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Fourth Amendment, dated as of August 24, 2021, to the First Lien Credit Agreement, among BNVC</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40" w:type="dxa"/>
            <w:vAlign w:val="bottom"/>
            <w:gridSpan w:val="13"/>
            <w:shd w:val="clear" w:color="auto" w:fill="0000EE"/>
          </w:tcPr>
          <w:p>
            <w:pPr>
              <w:spacing w:after="0" w:line="20" w:lineRule="exact"/>
              <w:rPr>
                <w:sz w:val="1"/>
                <w:szCs w:val="1"/>
                <w:color w:val="auto"/>
              </w:rPr>
            </w:pPr>
          </w:p>
        </w:tc>
        <w:tc>
          <w:tcPr>
            <w:tcW w:w="74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48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44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2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00" w:type="dxa"/>
            <w:vAlign w:val="bottom"/>
            <w:gridSpan w:val="23"/>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by reference to Exhibit 10.7 to Amendment No. 7 to the Company’s Registration Statement on Form S-1</w:t>
              </w:r>
            </w:hyperlink>
          </w:p>
        </w:tc>
        <w:tc>
          <w:tcPr>
            <w:tcW w:w="40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(File No. 333-275004) filed with the SEC on May 28, 2024).</w:t>
              </w:r>
            </w:hyperlink>
          </w:p>
        </w:tc>
        <w:tc>
          <w:tcPr>
            <w:tcW w:w="358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499" w:right="99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Fifth Amendment, dated as of June 1, 2023, to the First Lien Credit Agreement, among BNVC</w:t>
              </w:r>
            </w:hyperlink>
          </w:p>
        </w:tc>
        <w:tc>
          <w:tcPr>
            <w:tcW w:w="94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2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Administrative Agent, Collateral Agent, and Issuing Bank, Barclays Bank PLC, as Issuing Bank, Deutsche</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by reference to Exhibit 10.8 to Amendment No. 7 to the Company’s Registration Statement on Form S-1</w:t>
              </w:r>
            </w:hyperlink>
          </w:p>
        </w:tc>
      </w:tr>
      <w:tr>
        <w:trPr>
          <w:trHeight w:val="196"/>
        </w:trPr>
        <w:tc>
          <w:tcPr>
            <w:tcW w:w="108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(File No. 333-275004) filed with the SEC on May 28, 2024).</w:t>
              </w:r>
            </w:hyperlink>
          </w:p>
        </w:tc>
        <w:tc>
          <w:tcPr>
            <w:tcW w:w="3140" w:type="dxa"/>
            <w:vAlign w:val="bottom"/>
            <w:tcBorders>
              <w:top w:val="single" w:sz="8" w:color="0000EE"/>
            </w:tcBorders>
            <w:gridSpan w:val="13"/>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Sixth Amendment, dated as of June 23, 2023, to the First Lien Credit Agreement, among BNVC</w:t>
              </w:r>
            </w:hyperlink>
          </w:p>
        </w:tc>
        <w:tc>
          <w:tcPr>
            <w:tcW w:w="820" w:type="dxa"/>
            <w:vAlign w:val="bottom"/>
            <w:gridSpan w:val="1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2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Administrative Agent, Collateral Agent, and Issuing Bank, Barclays Bank PLC, as Issuing Bank, Deutsche</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by reference to Exhibit 10.9 to Amendment No. 7 to the Company’s Registration Statement on Form S-1</w:t>
              </w:r>
            </w:hyperlink>
          </w:p>
        </w:tc>
      </w:tr>
      <w:tr>
        <w:trPr>
          <w:trHeight w:val="196"/>
        </w:trPr>
        <w:tc>
          <w:tcPr>
            <w:tcW w:w="108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(File No. 333-275004) filed with the SEC on May 28, 2024).</w:t>
              </w:r>
            </w:hyperlink>
          </w:p>
        </w:tc>
        <w:tc>
          <w:tcPr>
            <w:tcW w:w="3140" w:type="dxa"/>
            <w:vAlign w:val="bottom"/>
            <w:tcBorders>
              <w:top w:val="single" w:sz="8" w:color="0000EE"/>
            </w:tcBorders>
            <w:gridSpan w:val="13"/>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Seventh Amendment, dated as of October 6, 2023, to the First Lien Credit Agreement, among BNVC</w:t>
              </w:r>
            </w:hyperlink>
          </w:p>
        </w:tc>
        <w:tc>
          <w:tcPr>
            <w:tcW w:w="460" w:type="dxa"/>
            <w:vAlign w:val="bottom"/>
            <w:gridSpan w:val="1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2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by reference to Exhibit 10.10 to Amendment No. 7 to the Company’s Registration Statement on Form S-1</w:t>
              </w:r>
            </w:hyperlink>
          </w:p>
        </w:tc>
        <w:tc>
          <w:tcPr>
            <w:tcW w:w="12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(File No. 333-275004) filed with the SEC on May 28, 2024).</w:t>
              </w:r>
            </w:hyperlink>
          </w:p>
        </w:tc>
        <w:tc>
          <w:tcPr>
            <w:tcW w:w="3380" w:type="dxa"/>
            <w:vAlign w:val="bottom"/>
            <w:gridSpan w:val="20"/>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780" w:type="dxa"/>
            <w:vAlign w:val="bottom"/>
            <w:gridSpan w:val="2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Eighth Amendment, dated as of February 9, 2024, to the First Lien Credit Agreement, among BNVC</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2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by reference to Exhibit 10.11 to Amendment No. 7 to the Company’s Registration Statement on Form S-1</w:t>
              </w:r>
            </w:hyperlink>
          </w:p>
        </w:tc>
        <w:tc>
          <w:tcPr>
            <w:tcW w:w="14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(File No. 333-275004) filed with the SEC on May 28, 2024).</w:t>
              </w:r>
            </w:hyperlink>
          </w:p>
        </w:tc>
        <w:tc>
          <w:tcPr>
            <w:tcW w:w="3380" w:type="dxa"/>
            <w:vAlign w:val="bottom"/>
            <w:gridSpan w:val="20"/>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780" w:type="dxa"/>
            <w:vAlign w:val="bottom"/>
            <w:gridSpan w:val="23"/>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Ninth Amendment, dated as of June 27, 2024, to the First Lien Credit Agreement, among BNVC</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Holdings, Inc. (as successor to Derby Parent, Inc.), Waystar Technologies, Inc. (f/k/a Navicure, Inc.) (as</w:t>
              </w:r>
            </w:hyperlink>
          </w:p>
        </w:tc>
        <w:tc>
          <w:tcPr>
            <w:tcW w:w="2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by reference to Exhibit 10.1 to the Company’s Current Report on Form 8-K filed on June 27, 2024).</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780" w:type="dxa"/>
            <w:vAlign w:val="bottom"/>
            <w:gridSpan w:val="23"/>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Tenth Amendment, dated as of December 30, 2024, to the First Lien Credit Agreement, among BNVC</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Holdings, Inc. (as successor to Derby Parent, Inc.), Waystar Technologies, Inc.(f/k/a Navicure, Inc.) (as</w:t>
              </w:r>
            </w:hyperlink>
          </w:p>
        </w:tc>
        <w:tc>
          <w:tcPr>
            <w:tcW w:w="32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successor to Derby Merger Sub, Inc. and BNVC Group Holdings, Inc.), JPMorgan Chase Bank, N.A., as</w:t>
              </w:r>
            </w:hyperlink>
          </w:p>
        </w:tc>
        <w:tc>
          <w:tcPr>
            <w:tcW w:w="2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Administrative Agent, Collateral Agent, and Issuing Bank, Barclays Bank PLC as Issuing Bank, Deutsche</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Bank AG New York Branch, as Issuing Bank, and each lender from time to time party thereto (incorporated</w:t>
              </w:r>
            </w:hyperlink>
          </w:p>
        </w:tc>
      </w:tr>
      <w:tr>
        <w:trPr>
          <w:trHeight w:val="196"/>
        </w:trPr>
        <w:tc>
          <w:tcPr>
            <w:tcW w:w="1080" w:type="dxa"/>
            <w:vAlign w:val="bottom"/>
          </w:tcPr>
          <w:p>
            <w:pPr>
              <w:spacing w:after="0"/>
              <w:rPr>
                <w:sz w:val="17"/>
                <w:szCs w:val="17"/>
                <w:color w:val="auto"/>
              </w:rPr>
            </w:pPr>
          </w:p>
        </w:tc>
        <w:tc>
          <w:tcPr>
            <w:tcW w:w="7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by reference to Exhibit 10.1 to the Company’s Current Report on Form 8-K filed on December 30, 2024).</w:t>
              </w:r>
            </w:hyperlink>
          </w:p>
        </w:tc>
        <w:tc>
          <w:tcPr>
            <w:tcW w:w="160" w:type="dxa"/>
            <w:vAlign w:val="bottom"/>
            <w:gridSpan w:val="5"/>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780" w:type="dxa"/>
            <w:vAlign w:val="bottom"/>
            <w:gridSpan w:val="23"/>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Receivables Financing Agreement, dated as of August 12, 2021, by and among Waystar RC LLC, PNC</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Bank, National Association, as Administrative Agent, Waystar Technologies, Inc., as initial Servicer, and</w:t>
              </w:r>
            </w:hyperlink>
          </w:p>
        </w:tc>
        <w:tc>
          <w:tcPr>
            <w:tcW w:w="20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PNC Capital Markets LLC, as Structuring Agent (incorporated by reference to Exhibit 10.12 to</w:t>
              </w:r>
            </w:hyperlink>
          </w:p>
        </w:tc>
        <w:tc>
          <w:tcPr>
            <w:tcW w:w="90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Amendment No. 7 to the Company’s Registration Statement on Form S-1 (File No. 333-275004) filed with</w:t>
              </w:r>
            </w:hyperlink>
          </w:p>
        </w:tc>
        <w:tc>
          <w:tcPr>
            <w:tcW w:w="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the SEC on May 28, 2024).</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Amendment No. 1, dated as of October 31, 2023 to Receivables Financing Agreement, among Waystar RC</w:t>
              </w:r>
            </w:hyperlink>
          </w:p>
        </w:tc>
        <w:tc>
          <w:tcPr>
            <w:tcW w:w="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LLC, PNC Bank, National Association, as Administrative Agent, Waystar Technologies, Inc., as initial</w:t>
              </w:r>
            </w:hyperlink>
          </w:p>
        </w:tc>
        <w:tc>
          <w:tcPr>
            <w:tcW w:w="34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Servicer, and PNC Capital Markets LLC, as Structuring Agent (incorporated by reference to Exhibit 10.13</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to Amendment No. 7 to the Company’s Registration Statement on Form S-1 (File No. 333-275004) filed</w:t>
              </w:r>
            </w:hyperlink>
          </w:p>
        </w:tc>
        <w:tc>
          <w:tcPr>
            <w:tcW w:w="24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with the SEC on May 28, 2024).</w:t>
              </w:r>
            </w:hyperlink>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13" w:right="1440" w:bottom="1440" w:gutter="0" w:footer="0" w:header="0"/>
        </w:sectPr>
      </w:pP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Indemnification Agreement between Waystar Holding Corp. and directors and executive officers</w:t>
              </w:r>
            </w:hyperlink>
          </w:p>
        </w:tc>
        <w:tc>
          <w:tcPr>
            <w:tcW w:w="140" w:type="dxa"/>
            <w:vAlign w:val="bottom"/>
            <w:gridSpan w:val="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of Waystar Holding Corp. (incorporated by reference to Exhibit 10.14 to Amendment No. 7 to the</w:t>
              </w:r>
            </w:hyperlink>
          </w:p>
        </w:tc>
        <w:tc>
          <w:tcPr>
            <w:tcW w:w="700" w:type="dxa"/>
            <w:vAlign w:val="bottom"/>
            <w:gridSpan w:val="20"/>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Company’s Registration Statement on Form S-1 (File No. 333-275004) filed with the SEC on May 28,</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2024).</w:t>
              </w:r>
            </w:hyperlink>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Derby TopCo, Inc. 2019 Stock Incentive Plan (incorporated by reference to Exhibit 10.15 to Amendment</w:t>
              </w:r>
            </w:hyperlink>
          </w:p>
        </w:tc>
        <w:tc>
          <w:tcPr>
            <w:tcW w:w="180" w:type="dxa"/>
            <w:vAlign w:val="bottom"/>
            <w:gridSpan w:val="7"/>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6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No. 7 to the Company’s Registration Statement on Form S-1 (File No. 333-275004) filed with the SEC on</w:t>
              </w:r>
            </w:hyperlink>
          </w:p>
        </w:tc>
        <w:tc>
          <w:tcPr>
            <w:tcW w:w="10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May 28, 2024).</w:t>
              </w:r>
            </w:hyperlink>
          </w:p>
        </w:tc>
        <w:tc>
          <w:tcPr>
            <w:tcW w:w="6640" w:type="dxa"/>
            <w:vAlign w:val="bottom"/>
            <w:gridSpan w:val="35"/>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Form of Option Agreement under the Derby TopCo, Inc. 2019 Stock Incentive Plan (incorporated by</w:t>
              </w:r>
            </w:hyperlink>
          </w:p>
        </w:tc>
        <w:tc>
          <w:tcPr>
            <w:tcW w:w="480" w:type="dxa"/>
            <w:vAlign w:val="bottom"/>
            <w:gridSpan w:val="16"/>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reference to Exhibit 10.16 to Amendment No. 7 to the Company’s Registration Statement on Form S-1</w:t>
              </w:r>
            </w:hyperlink>
          </w:p>
        </w:tc>
        <w:tc>
          <w:tcPr>
            <w:tcW w:w="340" w:type="dxa"/>
            <w:vAlign w:val="bottom"/>
            <w:gridSpan w:val="1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(File No. 333-275004) filed with the SEC on May 28, 2024).</w:t>
              </w:r>
            </w:hyperlink>
          </w:p>
        </w:tc>
        <w:tc>
          <w:tcPr>
            <w:tcW w:w="3360" w:type="dxa"/>
            <w:vAlign w:val="bottom"/>
            <w:gridSpan w:val="30"/>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Substitute Option Agreement under the Derby TopCo, Inc. 2019 Stock Incentive Plan</w:t>
              </w:r>
            </w:hyperlink>
          </w:p>
        </w:tc>
        <w:tc>
          <w:tcPr>
            <w:tcW w:w="960" w:type="dxa"/>
            <w:vAlign w:val="bottom"/>
            <w:gridSpan w:val="2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(incorporated by reference to Exhibit 10.17 to Amendment No. 7 to the Company’s Registration Statement</w:t>
              </w:r>
            </w:hyperlink>
          </w:p>
        </w:tc>
        <w:tc>
          <w:tcPr>
            <w:tcW w:w="6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on Form S-1 (File No. 333-275004) filed with the SEC on May 28, 2024).</w:t>
              </w:r>
            </w:hyperlink>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gridSpan w:val="38"/>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Waystar Holding Corp. 2024 Equity Incentive Plan (incorporated by reference to Exhibit 4.6 to the</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Company’s Registration Statement on Form S-8 filed on June 10, 2024).</w:t>
              </w:r>
            </w:hyperlink>
          </w:p>
        </w:tc>
        <w:tc>
          <w:tcPr>
            <w:tcW w:w="640" w:type="dxa"/>
            <w:vAlign w:val="bottom"/>
            <w:gridSpan w:val="18"/>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Form of Director Restricted Stock Unit Agreement under the Waystar Holding Corp. 2024 Equity Incentive</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Plan (incorporated by reference to Exhibit 10.19 to Amendment No. 7 to the Company’s Registration</w:t>
              </w:r>
            </w:hyperlink>
          </w:p>
        </w:tc>
        <w:tc>
          <w:tcPr>
            <w:tcW w:w="460" w:type="dxa"/>
            <w:vAlign w:val="bottom"/>
            <w:gridSpan w:val="1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Statement on Form S-1 (File No. 333-275004) filed with the SEC on May 28, 2024).</w:t>
              </w:r>
            </w:hyperlink>
          </w:p>
        </w:tc>
        <w:tc>
          <w:tcPr>
            <w:tcW w:w="1620" w:type="dxa"/>
            <w:vAlign w:val="bottom"/>
            <w:gridSpan w:val="23"/>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Employee Restricted Stock Unit Agreement under the Waystar Holding Corp. 2024 Equity</w:t>
              </w:r>
            </w:hyperlink>
          </w:p>
        </w:tc>
        <w:tc>
          <w:tcPr>
            <w:tcW w:w="580" w:type="dxa"/>
            <w:vAlign w:val="bottom"/>
            <w:gridSpan w:val="17"/>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Incentive Plan (incorporated by reference to Exhibit 10.20 to Amendment No. 7 to the Company’s</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Registration Statement on Form S-1 (File No. 333-275004) filed with the SEC on May 28, 2024).</w:t>
              </w:r>
            </w:hyperlink>
          </w:p>
        </w:tc>
        <w:tc>
          <w:tcPr>
            <w:tcW w:w="40" w:type="dxa"/>
            <w:vAlign w:val="bottom"/>
            <w:tcBorders>
              <w:top w:val="single" w:sz="8" w:color="0000EE"/>
            </w:tcBorders>
            <w:gridSpan w:val="2"/>
          </w:tcPr>
          <w:p>
            <w:pPr>
              <w:spacing w:after="0"/>
              <w:rPr>
                <w:sz w:val="17"/>
                <w:szCs w:val="17"/>
                <w:color w:val="auto"/>
              </w:rPr>
            </w:pPr>
          </w:p>
        </w:tc>
        <w:tc>
          <w:tcPr>
            <w:tcW w:w="680" w:type="dxa"/>
            <w:vAlign w:val="bottom"/>
            <w:gridSpan w:val="19"/>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gridSpan w:val="38"/>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Option Agreement under the Waystar Holding Corp. 2024 Equity Incentive Plan (incorporated by</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reference to Exhibit 10.21 to Amendment No. 7 to the Company’s Registration Statement on Form S-1</w:t>
              </w:r>
            </w:hyperlink>
          </w:p>
        </w:tc>
        <w:tc>
          <w:tcPr>
            <w:tcW w:w="24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(File No. 333-275004) filed with the SEC on May 28, 2024).</w:t>
              </w:r>
            </w:hyperlink>
          </w:p>
        </w:tc>
        <w:tc>
          <w:tcPr>
            <w:tcW w:w="3360" w:type="dxa"/>
            <w:vAlign w:val="bottom"/>
            <w:gridSpan w:val="30"/>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gridSpan w:val="38"/>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Notice of Amendment to Outstanding Options Granted under the Derby TopCo, Inc. 2019 Stock</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Incentive Plan (incorporated by reference to Exhibit 10.22 to Amendment No. 7 to the Company’s</w:t>
              </w:r>
            </w:hyperlink>
          </w:p>
        </w:tc>
        <w:tc>
          <w:tcPr>
            <w:tcW w:w="20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Registration Statement on Form S-1 (File No. 333-275004) filed with the SEC on May 28, 2024).</w:t>
              </w:r>
            </w:hyperlink>
          </w:p>
        </w:tc>
        <w:tc>
          <w:tcPr>
            <w:tcW w:w="40" w:type="dxa"/>
            <w:vAlign w:val="bottom"/>
            <w:tcBorders>
              <w:top w:val="single" w:sz="8" w:color="0000EE"/>
            </w:tcBorders>
            <w:gridSpan w:val="2"/>
          </w:tcPr>
          <w:p>
            <w:pPr>
              <w:spacing w:after="0"/>
              <w:rPr>
                <w:sz w:val="17"/>
                <w:szCs w:val="17"/>
                <w:color w:val="auto"/>
              </w:rPr>
            </w:pPr>
          </w:p>
        </w:tc>
        <w:tc>
          <w:tcPr>
            <w:tcW w:w="680" w:type="dxa"/>
            <w:vAlign w:val="bottom"/>
            <w:gridSpan w:val="19"/>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Waystar Holding Corp. 2024 Employee Stock Purchase Plan (incorporated by reference to Exhibit 4.11 to</w:t>
              </w:r>
            </w:hyperlink>
          </w:p>
        </w:tc>
        <w:tc>
          <w:tcPr>
            <w:tcW w:w="120" w:type="dxa"/>
            <w:vAlign w:val="bottom"/>
            <w:gridSpan w:val="4"/>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the Company’s Registration Statement on Form S-8 filed on June 10, 2024).</w:t>
              </w:r>
            </w:hyperlink>
          </w:p>
        </w:tc>
        <w:tc>
          <w:tcPr>
            <w:tcW w:w="2260" w:type="dxa"/>
            <w:vAlign w:val="bottom"/>
            <w:gridSpan w:val="26"/>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5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Form of Amendment to Outstanding Options Granted under the DerbyTopCo, Inc. 2019 Stock Incentive</w:t>
              </w:r>
            </w:hyperlink>
          </w:p>
        </w:tc>
        <w:tc>
          <w:tcPr>
            <w:tcW w:w="240" w:type="dxa"/>
            <w:vAlign w:val="bottom"/>
            <w:gridSpan w:val="9"/>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Plan (incorporated by reference to Exhibit 10.1 to the Company’s Quarterly Report on Form 10-Q, filed</w:t>
              </w:r>
            </w:hyperlink>
          </w:p>
        </w:tc>
        <w:tc>
          <w:tcPr>
            <w:tcW w:w="280" w:type="dxa"/>
            <w:vAlign w:val="bottom"/>
            <w:gridSpan w:val="11"/>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with the SEC on November 6, 2024).</w:t>
              </w:r>
            </w:hyperlink>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Waystar Holding Corp. Non-Employee Director Annual Compensation Policy.</w:t>
            </w: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Waystar Holding Corp. Non-Employee Director Deferral Plan.</w:t>
            </w:r>
          </w:p>
        </w:tc>
        <w:tc>
          <w:tcPr>
            <w:tcW w:w="2100" w:type="dxa"/>
            <w:vAlign w:val="bottom"/>
            <w:gridSpan w:val="25"/>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Employment Agreement, dated as of November 2, 2023, between Waystar Holding Corp. and Matthew J.</w:t>
              </w:r>
            </w:hyperlink>
          </w:p>
        </w:tc>
        <w:tc>
          <w:tcPr>
            <w:tcW w:w="160" w:type="dxa"/>
            <w:vAlign w:val="bottom"/>
            <w:gridSpan w:val="6"/>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Hawkins (incorporated by reference to Exhibit 10.24 to Amendment No. 7 to the Company’s Registration</w:t>
              </w:r>
            </w:hyperlink>
          </w:p>
        </w:tc>
        <w:tc>
          <w:tcPr>
            <w:tcW w:w="140" w:type="dxa"/>
            <w:vAlign w:val="bottom"/>
            <w:gridSpan w:val="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Statement on Form S-1 (File No. 333-275004) filed with the SEC on May 28, 2024).</w:t>
              </w:r>
            </w:hyperlink>
          </w:p>
        </w:tc>
        <w:tc>
          <w:tcPr>
            <w:tcW w:w="1640" w:type="dxa"/>
            <w:vAlign w:val="bottom"/>
            <w:gridSpan w:val="24"/>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Employment Agreement, dated as of May 24, 2024, between Waystar Holding Corp. and Eric L. (Ric)</w:t>
              </w:r>
            </w:hyperlink>
          </w:p>
        </w:tc>
        <w:tc>
          <w:tcPr>
            <w:tcW w:w="380" w:type="dxa"/>
            <w:vAlign w:val="bottom"/>
            <w:gridSpan w:val="14"/>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Sinclair III. (incorporated by reference to Exhibit 10.6 to the Company’s Current Report on Form 8-K filed</w:t>
              </w:r>
            </w:hyperlink>
          </w:p>
        </w:tc>
        <w:tc>
          <w:tcPr>
            <w:tcW w:w="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with the SEC on June 12, 2024)</w:t>
              </w:r>
            </w:hyperlink>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40" w:type="dxa"/>
            <w:vAlign w:val="bottom"/>
            <w:gridSpan w:val="1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Employment Agreement, dated as of May 24, 2024, between Waystar Holding Corp. and Christopher L.</w:t>
            </w: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Schremser.</w:t>
            </w:r>
          </w:p>
        </w:tc>
        <w:tc>
          <w:tcPr>
            <w:tcW w:w="260" w:type="dxa"/>
            <w:vAlign w:val="bottom"/>
            <w:gridSpan w:val="10"/>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640" w:type="dxa"/>
            <w:vAlign w:val="bottom"/>
            <w:gridSpan w:val="14"/>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40" w:type="dxa"/>
            <w:vAlign w:val="bottom"/>
          </w:tcPr>
          <w:p>
            <w:pPr>
              <w:spacing w:after="0"/>
              <w:rPr>
                <w:sz w:val="24"/>
                <w:szCs w:val="24"/>
                <w:color w:val="auto"/>
              </w:rPr>
            </w:pPr>
          </w:p>
        </w:tc>
        <w:tc>
          <w:tcPr>
            <w:tcW w:w="77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Waystar Holding Corp. Securities Trading Policy</w:t>
            </w: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640" w:type="dxa"/>
            <w:vAlign w:val="bottom"/>
            <w:gridSpan w:val="14"/>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40" w:type="dxa"/>
            <w:vAlign w:val="bottom"/>
          </w:tcPr>
          <w:p>
            <w:pPr>
              <w:spacing w:after="0"/>
              <w:rPr>
                <w:sz w:val="24"/>
                <w:szCs w:val="24"/>
                <w:color w:val="auto"/>
              </w:rPr>
            </w:pPr>
          </w:p>
        </w:tc>
        <w:tc>
          <w:tcPr>
            <w:tcW w:w="71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Subsidiaries of the Company (incorporated by reference to Exhibit 21.1 to Amendment No. 7 to the</w:t>
              </w:r>
            </w:hyperlink>
          </w:p>
        </w:tc>
        <w:tc>
          <w:tcPr>
            <w:tcW w:w="580" w:type="dxa"/>
            <w:vAlign w:val="bottom"/>
            <w:gridSpan w:val="17"/>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gridSpan w:val="38"/>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Company’s Registration Statement on Form S-1 (File No. 333-275004) filed with the SEC on May 28,</w:t>
              </w:r>
            </w:hyperlink>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2024).</w:t>
              </w:r>
            </w:hyperlink>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77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Consent of KPMG LLP.</w:t>
            </w: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ectPr>
          <w:pgSz w:w="11900" w:h="16838" w:orient="portrait"/>
          <w:cols w:equalWidth="0" w:num="2">
            <w:col w:w="8840" w:space="580"/>
            <w:col w:w="140"/>
          </w:cols>
          <w:pgMar w:left="980" w:top="513" w:right="1359" w:bottom="1440" w:gutter="0" w:footer="0" w:header="0"/>
        </w:sect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60"/>
          </w:cols>
          <w:pgMar w:left="980" w:top="513" w:right="13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as adopted pursuant to Section 302 of the Sarbanes-Oxley Act of</w:t>
            </w:r>
          </w:p>
        </w:tc>
      </w:tr>
      <w:tr>
        <w:trPr>
          <w:trHeight w:val="196"/>
        </w:trPr>
        <w:tc>
          <w:tcPr>
            <w:tcW w:w="10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as adopted pursuant to Section 302 of the Sarbanes-Oxley Act of</w:t>
            </w:r>
          </w:p>
        </w:tc>
      </w:tr>
      <w:tr>
        <w:trPr>
          <w:trHeight w:val="196"/>
        </w:trPr>
        <w:tc>
          <w:tcPr>
            <w:tcW w:w="10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30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7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w:t>
            </w:r>
          </w:p>
        </w:tc>
        <w:tc>
          <w:tcPr>
            <w:tcW w:w="42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32.2 *</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1080" w:type="dxa"/>
            <w:vAlign w:val="bottom"/>
          </w:tcPr>
          <w:p>
            <w:pPr>
              <w:spacing w:after="0"/>
              <w:rPr>
                <w:sz w:val="17"/>
                <w:szCs w:val="17"/>
                <w:color w:val="auto"/>
              </w:rPr>
            </w:pPr>
          </w:p>
        </w:tc>
        <w:tc>
          <w:tcPr>
            <w:tcW w:w="71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8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Waystar Holding Corp. Incentive Compensation Clawback Policy</w:t>
            </w:r>
          </w:p>
        </w:tc>
      </w:tr>
      <w:tr>
        <w:trPr>
          <w:trHeight w:val="20"/>
        </w:trPr>
        <w:tc>
          <w:tcPr>
            <w:tcW w:w="108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r>
      <w:tr>
        <w:trPr>
          <w:trHeight w:val="32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34"/>
        </w:trPr>
        <w:tc>
          <w:tcPr>
            <w:tcW w:w="1080" w:type="dxa"/>
            <w:vAlign w:val="bottom"/>
          </w:tcPr>
          <w:p>
            <w:pPr>
              <w:spacing w:after="0"/>
              <w:rPr>
                <w:sz w:val="20"/>
                <w:szCs w:val="20"/>
                <w:color w:val="auto"/>
              </w:rPr>
            </w:pP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90" w:lineRule="exact"/>
        <w:rPr>
          <w:sz w:val="20"/>
          <w:szCs w:val="20"/>
          <w:color w:val="auto"/>
        </w:rPr>
      </w:pPr>
    </w:p>
    <w:p>
      <w:pPr>
        <w:ind w:left="1080" w:right="1480" w:hanging="1071"/>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1568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1" w:lineRule="exact"/>
        <w:rPr>
          <w:sz w:val="20"/>
          <w:szCs w:val="20"/>
          <w:color w:val="auto"/>
        </w:rPr>
      </w:pPr>
    </w:p>
    <w:p>
      <w:pPr>
        <w:sectPr>
          <w:pgSz w:w="11900" w:h="16838" w:orient="portrait"/>
          <w:cols w:equalWidth="0" w:num="2">
            <w:col w:w="8720" w:space="700"/>
            <w:col w:w="500"/>
          </w:cols>
          <w:pgMar w:left="980" w:top="513" w:right="999" w:bottom="1440" w:gutter="0" w:footer="0" w:header="0"/>
        </w:sectPr>
      </w:pPr>
    </w:p>
    <w:p>
      <w:pPr>
        <w:spacing w:after="0" w:line="70"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of compensatory plan or arrangement.</w:t>
      </w:r>
    </w:p>
    <w:p>
      <w:pPr>
        <w:spacing w:after="0" w:line="27" w:lineRule="exact"/>
        <w:rPr>
          <w:sz w:val="20"/>
          <w:szCs w:val="20"/>
          <w:color w:val="auto"/>
        </w:rPr>
      </w:pPr>
    </w:p>
    <w:p>
      <w:pPr>
        <w:ind w:left="340" w:right="180" w:hanging="332"/>
        <w:spacing w:after="0" w:line="260"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Such exhibit shall not be deemed incorporated into any filing under the Securities Act or the Exchange Act.</w:t>
      </w:r>
    </w:p>
    <w:p>
      <w:pPr>
        <w:spacing w:after="0" w:line="1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Steven M. Oreskovich</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Financial Officer (principal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00" w:lineRule="exact"/>
        <w:rPr>
          <w:sz w:val="20"/>
          <w:szCs w:val="20"/>
          <w:color w:val="auto"/>
        </w:rPr>
      </w:pPr>
    </w:p>
    <w:p>
      <w:pPr>
        <w:spacing w:after="0" w:line="22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report has been signed by the following persons on behalf of the registrant and in the capacities indicated on February 18,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24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r>
      <w:tr>
        <w:trPr>
          <w:trHeight w:val="407"/>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Hawkins</w:t>
            </w:r>
          </w:p>
        </w:tc>
        <w:tc>
          <w:tcPr>
            <w:tcW w:w="24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J. Hawkins</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Oreskovich</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M. Oreskovich</w:t>
            </w:r>
          </w:p>
        </w:tc>
        <w:tc>
          <w:tcPr>
            <w:tcW w:w="2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Driscoll</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Driscoll</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Blaichman</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Samuel Blaichman</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DeMichiei</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DeMichiei</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Priscilla Hung</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Priscilla Hung</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C. Liu</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C. Liu</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Heidi G. Miller</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Heidi G. Miller</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Moskowitz</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Moskowitz</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Vivian E. Riefberg</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Vivian E. Riefberg</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41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Ethan Waxman</w:t>
            </w:r>
          </w:p>
        </w:tc>
        <w:tc>
          <w:tcPr>
            <w:tcW w:w="2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Ethan Waxman</w:t>
            </w:r>
          </w:p>
        </w:tc>
        <w:tc>
          <w:tcPr>
            <w:tcW w:w="240" w:type="dxa"/>
            <w:vAlign w:val="bottom"/>
          </w:tcPr>
          <w:p>
            <w:pPr>
              <w:spacing w:after="0"/>
              <w:rPr>
                <w:sz w:val="19"/>
                <w:szCs w:val="19"/>
                <w:color w:val="auto"/>
              </w:rPr>
            </w:pPr>
          </w:p>
        </w:tc>
        <w:tc>
          <w:tcPr>
            <w:tcW w:w="47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Waystar Holding Corp. has one class of securities registered under Section 12 of the Securities Exchange Act of 1934, as amended (the “Exchange Act”): its common stock, par value $0.01 per share (our “common stock”). The following is a description of the material terms of our common stock, and is qualified in its entirety by, our amended and restated certificate of incorporation and amended and restated bylaws, which are filed as exhibits to the Annual Report on Form 10-K, of which this Exhibit is a part. For a complete description of our common stock, you should refer to our amended and restated certificate of incorporation, amended and restated bylaws, and the applicable provisions of Delaware law. In this section, “we,” “us,” “our,” “the Company” and “our Company” refer to Waystar Holding Corp. and not to any of its subsidiaries. “Bain” refers to certain investment funds of Bain Capital, LP and its affiliates, “CPPIB” refers to The Canada Pension Plan Investment Board, “EQT” refers to certain investment funds of EQT AB and its affiliates, and “Institutional Investors” refers to the investment funds of EQT, CPPIB, and Bain, in each case, so long as they own shares of common stock of our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2,500,000,000 shares of our common stock, $0.01 par value per share; and 100,000,000 shares of preferred stock, par value $0.01 per share, all of which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per share on all matters submitted to a vote of the stockholders. The holders of our common stock do not have cumulative voting rights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as may be declared from time to time by our board of directors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and after payment in full of all amounts required to be paid to creditors and to the holders of preferred stock having liquidation preferences, if any, holders of our common stock will be entitled to share ratably in the net assets legally available for distribution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rights, powers, preferences, and privileges of holders of our common stock will be subject to those of the holders of any shares of our preferred stock we may authorize and issue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by the applicable stock exchange, the authorized shares of preferred stock will be available for issuance without further action by our stockholders. Our board of directors may determine, with respect to any series of preferred stock, the terms and rights of that series, including:</w:t>
      </w:r>
    </w:p>
    <w:p>
      <w:pPr>
        <w:sectPr>
          <w:pgSz w:w="11900" w:h="16838" w:orient="portrait"/>
          <w:cols w:equalWidth="0" w:num="1">
            <w:col w:w="9920"/>
          </w:cols>
          <w:pgMar w:left="980" w:top="33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type w:val="continuous"/>
        </w:sectPr>
      </w:pPr>
    </w:p>
    <w:bookmarkStart w:id="139" w:name="page140"/>
    <w:bookmarkEnd w:id="139"/>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7"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9" w:lineRule="exact"/>
        <w:rPr>
          <w:rFonts w:ascii="Times New Roman" w:cs="Times New Roman" w:eastAsia="Times New Roman" w:hAnsi="Times New Roman"/>
          <w:sz w:val="18"/>
          <w:szCs w:val="18"/>
          <w:color w:val="auto"/>
        </w:rPr>
      </w:pPr>
    </w:p>
    <w:p>
      <w:pPr>
        <w:ind w:left="1300" w:right="400" w:hanging="644"/>
        <w:spacing w:after="0" w:line="250"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ind w:left="1300" w:right="100" w:hanging="644"/>
        <w:spacing w:after="0" w:line="250"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may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In addition, the issuance of preferred stock could have the effect of delaying, deferring, or preventing a change of control, or other corporate action. As a result of these or other factors, the issuance of preferred stock may have an adverse impact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as amended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our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0" w:name="page141"/>
    <w:bookmarkEnd w:id="140"/>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Global Select Market (“Nasdaq”), which apply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are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rights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will consist of not more than ten members and not less than the number of directors as is required to allow for the election of each director nominee as described below. EQT will have the right to nominate to our board of directors (i) two nominees for so long as EQT beneficially owns 25% or greater of our then-outstanding common stock, and (ii) one nominee for so long as EQT beneficially owns 5% or greater, but less than 25% of our then- outstanding common stock. CPPIB will have the right to nominate to our board of directors one nominee for so long as CPPIB beneficially owns 5% or greater of our then-outstanding common stock. Bain will have the right to nominate to our board of directors one nominee for so long as Bain beneficially owns 5% or greater of our then-outstanding common stock. In addition, we will cause the nomination of five independent director nominees as well as the nomination of the person who, as of the date of nomination, is then-serving as our Chief Executive Officer.</w:t>
      </w:r>
    </w:p>
    <w:p>
      <w:pPr>
        <w:spacing w:after="0" w:line="18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addition, EQT will have the right to designate the chairperson of our board of directors for so long as it beneficially owns at least 20% of our then-outstanding common stock, with the consent of CPPIB (not to be unreasonably withheld).</w:t>
      </w:r>
    </w:p>
    <w:p>
      <w:pPr>
        <w:spacing w:after="0" w:line="16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Further, for so long as EQT, CPPIB, and Bain collectively beneficially own 5% or greater of our then- outstanding common stock, (i) the Bain director nominee will be appointed to serve on the Audit, Compliance, &amp; Risk Committee, (ii) the CPPIB director nominee and one EQT director nominee will be appointed to serve on the Talent &amp; Compensation Committee, and (iii) the CPPIB director nominee and one EQT director nominee will be appointed to serve on the Nominating and Corporate Governance Committee,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 of holders of any series of preferred stock, our board of directors will be divided into three classes of directors, with the classes to be as nearly equal in number as possible, and with the directors serving three-year terms, with only one class of directors being elected at each annual meeting of stockholders. At the second annual meeting of stockholders after the date on which the Institutional Investors collectively own less than 15% in voting power of the then-outstanding power of the then-outstanding shares of stock of our Company entitled to vote generally in the election of directors (the “Triggering Annual Meeting”), and each annual meeting of stockholders thereafter, all directors shall be elected to hold office for a one-year term expiring at the next annual meeting of stockholders. Pursuant to such procedures, effective as of the Triggering Annual Meeting, our board of directors will no longer be classified under Section 141(d) of the DGCL and directors shall no longer be divided into three classes. As a result, prior to the Triggering Annual Meeting, approximately one-third of our board of directors will be elected each year. The classification of directors prior to the Triggering Annual Meeting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our board of directors; however, if at any time the Institutional Investors collectively own at least 40% in voting power of the then-outstanding shares of stock of our Company entitled to vote generally in the election of directors, the stockholders may also fix the number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1300" w:right="24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ind w:left="1300" w:right="420" w:hanging="644"/>
        <w:spacing w:after="0" w:line="250"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spacing w:after="0" w:line="1" w:lineRule="exact"/>
        <w:rPr>
          <w:rFonts w:ascii="Times New Roman" w:cs="Times New Roman" w:eastAsia="Times New Roman" w:hAnsi="Times New Roman"/>
          <w:sz w:val="18"/>
          <w:szCs w:val="18"/>
          <w:color w:val="auto"/>
        </w:rPr>
      </w:pPr>
    </w:p>
    <w:p>
      <w:pPr>
        <w:jc w:val="both"/>
        <w:ind w:left="1300" w:right="280" w:hanging="644"/>
        <w:spacing w:after="0" w:line="265" w:lineRule="auto"/>
        <w:tabs>
          <w:tab w:leader="none" w:pos="13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that time, the business combination is approved by our board of directors and by the affirmative vote of holders of at least 662∕3% of our outstanding voting stock that is not owned by the interested stockholder; or</w:t>
      </w:r>
    </w:p>
    <w:p>
      <w:pPr>
        <w:ind w:left="1300" w:right="100" w:hanging="644"/>
        <w:spacing w:after="0" w:line="255"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certain circumstances, these provisions make it more difficult for a person who would be an “interested stockholder” to effect various business combinations with our company for a three-year period. These provisions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that stockholders may otherwise deem to be in their best interests. Our amended and restated certificate of incorporation provides that each of the Institutional Investors, and any of their respective direct or indirect transferees and any group as to which such persons or entities are a party, does not constitute an “interested stockholder” for purposes of these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other than directors elected by holders of our preferred stock, if any, directors may be removed with or without cause upon the affirmative vote of a majority in voting power of all outstanding shares of stock entitled to vote thereon, voting together as a single class; provided, however, at any time commencing on the day on which the Institutional Investors collectively beneficially own less than 40% in voting power of the then-outstanding shares of stock of our company entitled to vote generally in the election of directors and ending immediately following the final adjournment of the Triggering Annual Meeting (such period, the “Protective Period”), directors may only be removed for cause, and only by the affirmative vote of holders of at least 662∕3% in voting power of all the then-outstanding shares of stock of our company entitled to vote thereon, voting together as a single class. In addition, our amended and restated certificate of incorporation will also provide that, subject to the rights granted to one or more series of preferred stock then outstanding or the rights granted pursuant to a stockholders agreement to which we are a party, any newly created directorship on our board of directors that results from an increase in the number of directors and any vacancies on our board of directors will be filled only by the affirmative vote of a majority of the remaining directors, even if less than a quorum, or by a sole remaining director or by the stockholders; provided, however, at any time when the Institutional Investors collectively beneficially own less than 40% in voting power of the then-outstanding shares of stock of our company entitled to vote generally in the election of directors,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Our amended and restated certificate of incorporation provides that our board of directors may increase the number of directors by the affirmative vote of a majority of the directors or, at any time when the Institutional Investors collectively beneficially own at least 40% of the voting power of the then-outstanding shares of stock of our Company entitled to vote generally in the election of directors, of the stockholders.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EQT, CPPIB, or Bain, as applicable, shall have the exclusive right to remove their respective nominees from our board of directors, with or without cause. For so long as EQT, CPPIB, or Bain have the right to nominate their respective directors, the shares of common stock held by EQT, CPPIB, or Bain, as applicable, shall be the only shares entitled to vote on the removal without cause of any of their respective nominees, and the shares of common stock owned by any holders as of the record date for determining stockholders entitled to vote thereon shall have no voting rights on such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then- outstanding shares of our stock entitled to vote generally in the election of directors are able to elect all of our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our board of directors or the chairman of our board of directors; provided, however, at any time when the Institutional Investors beneficially own, in the aggregate, at least 40% in voting power of the then-outstanding shares of stock of our Company entitled to vote generally in the election of directors, special meetings of our stockholders may be called at any time by or at the direction of our board of directors or the chairman of our board of directors and shall be called by the secretary of our company at the request of at least two of the Institutional Investors.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respect to stockholder proposals and the nomination of candidates for election as directors, other than nominations made as provided in our amended and restated certificate of incorporation, a stockholders agreement or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the Institutional Investors and their affiliates for as long as the stockholders agreement to which they are parties remains in effect. These provisions may also deter, delay, or discourage a potential acquirer from conducting a solicitation of proxies to elect the acquirer’s own slate of directors or otherwise attempting to influence or obtain control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at any time when the Institutional Investors collectively beneficially own less than 40% in voting power of the then-outstanding shares of stock of our Company entitled to vote generally in the election of directors, other than certain rights that holders of our preferred stock may have to act by consent.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our board of directors is expressly authorized to make, alter, amend, change, add to, rescind, or repeal, in whole or in part, our amended and restated bylaws without a stockholder vote in any matter not inconsistent with Delaware law or our amended and restated certificate of incorporation. Any amendment, alteration, rescission, or repeal, of our amended and restated bylaws by our stockholders requires the affirmative vote of a majority in voting power of the outstanding shares of our stock present in person or represented by proxy at the meeting of stockholders and entitled to vote on such amendment, alteration, change, addition, rescission, change, addition, or repeal, except that during the Protective Period, any amendment, alteration, rescission, change, addition, or repeal of our amended and restated bylaws by our stockholders will require the affirmative vote of the holders of at least 662∕3% in voting power of all the then- outstanding shares of stock of our Company entitled to vote thereon, voting together as a single class.</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during the Protective Period, the following provisions in our amended and restated certificate of incorporation may be amended, altered, repealed, or rescinded only by the affirmative vote of the holders of at least 662∕3% in voting power of all the then-outstanding shares of stock of our company entitled to vote thereon, voting together as a single class:</w:t>
      </w:r>
    </w:p>
    <w:p>
      <w:pPr>
        <w:spacing w:after="0" w:line="180"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662∕3% supermajority vote for stockholders to amend our amended and restated bylaws;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44" w:name="page145"/>
    <w:bookmarkEnd w:id="144"/>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annual or special meetings of stockholders;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or officer;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662∕3% supermajority vote.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such court does not have subject matter jurisdiction another state or the federal court (as appropriate) located within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our company or our company’s stockholders, (iii) action asserting a claim against our company or any current or former director, officer, employee, or stockholder of our company arising pursuant to any provision of the DGCL or our amended and restated certificate of incorporation or our amended and restated bylaws (as either may be amended from time to time) or (iv) action asserting a claim governed by the internal affairs doctrine of the State of Delaware. These provisions shall not apply to suits brought to enforce a duty or liability created by the Exchange Act or any other claim for which the federal courts have exclusive jurisdiction and our stockholders cannot waive compliance with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5" w:name="page146"/>
    <w:bookmarkEnd w:id="145"/>
    <w:p>
      <w:pPr>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Any person or entity purchasing or otherwise acquiring any interest in shares of capital stock of our company shall be deemed to have notice of and consented to the forum provisions in our amended and restated certificate of incorporation. Although our amended and restated certificate of incorporation contains the exclusive forum provision described above, it is possible that a court could find that such a provision is inapplicable for a particular claim or action or that such provision is unenforceable. In particular,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Institutional Investors or any director who is not employed by us (including any non-employee director who serves as one of our officers in both his or her director and officer capacities) or his or her affiliates will have any duty to refrain from (1) engaging in a corporate opportunity in the same or similar business activities or lines of business in which we or our affiliates now engage or propose to engage or (2) otherwise competing with us or our affiliates. In addition, to the fullest extent permitted by law, in the event that any of the Institutional Investors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However, exculpation will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46" w:name="page147"/>
    <w:bookmarkEnd w:id="146"/>
    <w:p>
      <w:pPr>
        <w:ind w:firstLine="648"/>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Waystar Holding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April 30,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purpose of this Non-Employee Director Compensation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to establish the cash and equity compensation for non-employee members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Waystar Holding Corp.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a manner that aligns their interests with those of the Company’s shareholders and is competitive with comparable companies.</w:t>
      </w:r>
    </w:p>
    <w:p>
      <w:pPr>
        <w:spacing w:after="0" w:line="1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cash and equity compensation described in this Policy shall be paid or be made, as applicable, automatically and without further action of the Board, or any committee or subcommittee thereof, to each member of the Board who is not an employee of the Company or any parent or subsidiary of the Company and who is also not employed by EQT AB, Canada Pension Plan Investment Board, Bain Capital, LP, or any of their respective affiliates (each, a “</w:t>
      </w:r>
      <w:r>
        <w:rPr>
          <w:rFonts w:ascii="Times New Roman" w:cs="Times New Roman" w:eastAsia="Times New Roman" w:hAnsi="Times New Roman"/>
          <w:sz w:val="22"/>
          <w:szCs w:val="22"/>
          <w:b w:val="1"/>
          <w:bCs w:val="1"/>
          <w:color w:val="auto"/>
        </w:rPr>
        <w:t>Non-Employee Director</w:t>
      </w:r>
      <w:r>
        <w:rPr>
          <w:rFonts w:ascii="Times New Roman" w:cs="Times New Roman" w:eastAsia="Times New Roman" w:hAnsi="Times New Roman"/>
          <w:sz w:val="22"/>
          <w:szCs w:val="22"/>
          <w:color w:val="auto"/>
        </w:rPr>
        <w:t>”) who may be eligible to receive such cash or equity compensation, unless such Non-Employee Director declines the receipt of such cash or equity compensation by written notice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Date</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This Policy shall become effective upon the closing date of the Company’s initial public offering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shall remain in effect until it is revised or rescinded by further action of the Board.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$50,000 for service on the Board.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xml:space="preserve">. In addition to the annual retainer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each Non-Employee Director serving as Non-Executive Chairman of the Board or as a member or chair, as applicable, of the following committees of the Board shall receive an additional annual retainer for such service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Non-Executive Chairman of the Board:</w:t>
            </w:r>
          </w:p>
        </w:tc>
        <w:tc>
          <w:tcPr>
            <w:tcW w:w="52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$100,000</w:t>
            </w:r>
          </w:p>
        </w:tc>
      </w:tr>
      <w:tr>
        <w:trPr>
          <w:trHeight w:val="243"/>
        </w:trPr>
        <w:tc>
          <w:tcPr>
            <w:tcW w:w="47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Audit Committee Chair:</w:t>
            </w:r>
          </w:p>
        </w:tc>
        <w:tc>
          <w:tcPr>
            <w:tcW w:w="52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$25,000</w:t>
            </w:r>
          </w:p>
        </w:tc>
      </w:tr>
      <w:tr>
        <w:trPr>
          <w:trHeight w:val="243"/>
        </w:trPr>
        <w:tc>
          <w:tcPr>
            <w:tcW w:w="47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Audit Committee Member:</w:t>
            </w:r>
          </w:p>
        </w:tc>
        <w:tc>
          <w:tcPr>
            <w:tcW w:w="52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43"/>
        </w:trPr>
        <w:tc>
          <w:tcPr>
            <w:tcW w:w="47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Compensation Committee Chair:</w:t>
            </w:r>
          </w:p>
        </w:tc>
        <w:tc>
          <w:tcPr>
            <w:tcW w:w="52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$20,000</w:t>
            </w:r>
          </w:p>
        </w:tc>
      </w:tr>
      <w:tr>
        <w:trPr>
          <w:trHeight w:val="282"/>
        </w:trPr>
        <w:tc>
          <w:tcPr>
            <w:tcW w:w="47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52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$10,000</w:t>
            </w:r>
          </w:p>
        </w:tc>
      </w:tr>
      <w:tr>
        <w:trPr>
          <w:trHeight w:val="1008"/>
        </w:trPr>
        <w:tc>
          <w:tcPr>
            <w:tcW w:w="4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4" w:right="999" w:bottom="1440" w:gutter="0" w:footer="0" w:header="0"/>
        </w:sectPr>
      </w:pPr>
    </w:p>
    <w:bookmarkStart w:id="148" w:name="page149"/>
    <w:bookmarkEnd w:id="148"/>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53"/>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Nominating and Corporate Governance Chair:</w:t>
            </w:r>
          </w:p>
        </w:tc>
        <w:tc>
          <w:tcPr>
            <w:tcW w:w="9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$15,000</w:t>
            </w:r>
          </w:p>
        </w:tc>
      </w:tr>
      <w:tr>
        <w:trPr>
          <w:trHeight w:val="282"/>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Nominating and Corporate Governance Member:</w:t>
            </w:r>
          </w:p>
        </w:tc>
        <w:tc>
          <w:tcPr>
            <w:tcW w:w="9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204" w:lineRule="exact"/>
        <w:rPr>
          <w:sz w:val="20"/>
          <w:szCs w:val="20"/>
          <w:color w:val="auto"/>
        </w:rPr>
      </w:pPr>
    </w:p>
    <w:p>
      <w:pPr>
        <w:jc w:val="both"/>
        <w:ind w:left="1292" w:hanging="644"/>
        <w:spacing w:after="0" w:line="245" w:lineRule="auto"/>
        <w:tabs>
          <w:tab w:leader="none" w:pos="1292"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Retainers</w:t>
      </w:r>
      <w:r>
        <w:rPr>
          <w:rFonts w:ascii="Times New Roman" w:cs="Times New Roman" w:eastAsia="Times New Roman" w:hAnsi="Times New Roman"/>
          <w:sz w:val="21"/>
          <w:szCs w:val="21"/>
          <w:color w:val="auto"/>
        </w:rPr>
        <w:t xml:space="preserve">. The annual retainers described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shall be earned on a quarterly basis based on a calendar quarter and shall be paid by the Company in arrears not later than the fifteenth day following the end of each calendar quarter. In the event a member of the Board does not serve as a Non-Employee Director, or in the applicable positions described in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for an entire calendar quarter, such Non-Employee Director shall receive a prorated portion of the retainer(s) otherwise payable to such Non-Employee Director for such calendar quarter pursuant to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as applicable, with such prorated portion determined by multiplying such otherwise payable retainer(s) by a fraction, the numerator of which is the number of days during which the member of the Board serves as a Non-Employee Director or in the applicable positions described in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during the applicable calendar quarter and the denominator of which is the number of days in the applicable calendar quarter.</w:t>
      </w:r>
    </w:p>
    <w:p>
      <w:pPr>
        <w:spacing w:after="0" w:line="177" w:lineRule="exact"/>
        <w:rPr>
          <w:rFonts w:ascii="Times New Roman" w:cs="Times New Roman" w:eastAsia="Times New Roman" w:hAnsi="Times New Roman"/>
          <w:sz w:val="21"/>
          <w:szCs w:val="21"/>
          <w:color w:val="auto"/>
        </w:rPr>
      </w:pPr>
    </w:p>
    <w:p>
      <w:pPr>
        <w:jc w:val="both"/>
        <w:ind w:left="1292" w:hanging="644"/>
        <w:spacing w:after="0" w:line="244" w:lineRule="auto"/>
        <w:tabs>
          <w:tab w:leader="none" w:pos="129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The Company shall reimburse each non-employee member of the Board for all reasonable and documented travel and lodging expenses associated with attendance at Board and committee meetings.</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5" w:lineRule="auto"/>
        <w:tabs>
          <w:tab w:leader="none" w:pos="6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Non-Employee Directors shall be granted the restricted stock unit awards described below. The awards described below shall be granted under and shall be subject to the terms and provisions of the Company’s 2023 Equity Incentive Plan or any other applicable Company equity incentive plan then maintained by the Company (such plan, as may be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shall be granted subject to the execution and delivery of applicable award agreement(s), including any exhibits attached thereto. All applicable terms of the Plan and any award agreement thereunder shall apply to this Policy as if fully set forth herein.</w:t>
      </w:r>
    </w:p>
    <w:p>
      <w:pPr>
        <w:spacing w:after="0" w:line="183" w:lineRule="exact"/>
        <w:rPr>
          <w:rFonts w:ascii="Times New Roman" w:cs="Times New Roman" w:eastAsia="Times New Roman" w:hAnsi="Times New Roman"/>
          <w:sz w:val="22"/>
          <w:szCs w:val="22"/>
          <w:color w:val="auto"/>
        </w:rPr>
      </w:pPr>
    </w:p>
    <w:p>
      <w:pPr>
        <w:jc w:val="both"/>
        <w:ind w:left="1292" w:hanging="644"/>
        <w:spacing w:after="0" w:line="235" w:lineRule="auto"/>
        <w:tabs>
          <w:tab w:leader="none" w:pos="12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Each Non-Employee Director who (i) serves on the Board as of the date of any annual meeting of the Company’s stockholders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after the Effective Time and (ii) will continue to serve as a Non-Employee Director immediately following such Annual Meeting shall be automatically granted, on the date of such Annual Meeting, an equity award consisting of a number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xml:space="preserve">”) calculated by dividing $200,000 by the average closing price per share of Common Stock over the 30 trading days preceding such grant date, rounded up to the nearest whole share. The awards described in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shall be referred to as the “</w:t>
      </w:r>
      <w:r>
        <w:rPr>
          <w:rFonts w:ascii="Times New Roman" w:cs="Times New Roman" w:eastAsia="Times New Roman" w:hAnsi="Times New Roman"/>
          <w:sz w:val="22"/>
          <w:szCs w:val="22"/>
          <w:b w:val="1"/>
          <w:bCs w:val="1"/>
          <w:color w:val="auto"/>
        </w:rPr>
        <w:t>Annual Awards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Granted to Non-Employee Directors</w:t>
      </w:r>
      <w:r>
        <w:rPr>
          <w:rFonts w:ascii="Times New Roman" w:cs="Times New Roman" w:eastAsia="Times New Roman" w:hAnsi="Times New Roman"/>
          <w:sz w:val="22"/>
          <w:szCs w:val="22"/>
          <w:color w:val="auto"/>
        </w:rPr>
        <w:t>. Subject to the Non-Employee Director continuing in service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01" w:right="999" w:bottom="1440" w:gutter="0" w:footer="0" w:header="0"/>
        </w:sectPr>
      </w:pPr>
    </w:p>
    <w:bookmarkStart w:id="149" w:name="page150"/>
    <w:bookmarkEnd w:id="149"/>
    <w:p>
      <w:pPr>
        <w:jc w:val="both"/>
        <w:ind w:left="1960" w:hanging="656"/>
        <w:spacing w:after="0" w:line="239" w:lineRule="auto"/>
        <w:tabs>
          <w:tab w:leader="none" w:pos="19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Each Annual Award shall vest on the first anniversary of the date of grant, or, if earlier, the date which is the business day immediately preceding the date of the next Annual Meeting following the date of the Annual Meeting on which such Annual Award is granted.</w:t>
      </w:r>
    </w:p>
    <w:p>
      <w:pPr>
        <w:spacing w:after="0" w:line="180" w:lineRule="exact"/>
        <w:rPr>
          <w:rFonts w:ascii="Times New Roman" w:cs="Times New Roman" w:eastAsia="Times New Roman" w:hAnsi="Times New Roman"/>
          <w:sz w:val="22"/>
          <w:szCs w:val="22"/>
          <w:color w:val="auto"/>
        </w:rPr>
      </w:pPr>
    </w:p>
    <w:p>
      <w:pPr>
        <w:jc w:val="both"/>
        <w:ind w:left="1960" w:right="20" w:hanging="656"/>
        <w:spacing w:after="0" w:line="244" w:lineRule="auto"/>
        <w:tabs>
          <w:tab w:leader="none" w:pos="19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No portion of an Annual Award or Initial Award that is unvested at the time of a Non-Employee Director’s termination of service on the Board shall become vested thereafter.</w:t>
      </w:r>
    </w:p>
    <w:p>
      <w:pPr>
        <w:spacing w:after="0" w:line="173" w:lineRule="exact"/>
        <w:rPr>
          <w:rFonts w:ascii="Times New Roman" w:cs="Times New Roman" w:eastAsia="Times New Roman" w:hAnsi="Times New Roman"/>
          <w:sz w:val="22"/>
          <w:szCs w:val="22"/>
          <w:color w:val="auto"/>
        </w:rPr>
      </w:pPr>
    </w:p>
    <w:p>
      <w:pPr>
        <w:jc w:val="both"/>
        <w:ind w:left="1960" w:right="20" w:hanging="656"/>
        <w:spacing w:after="0" w:line="244" w:lineRule="auto"/>
        <w:tabs>
          <w:tab w:leader="none" w:pos="19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All of the Annual Awards and Initial Awards shall vest in full immediately prior to the occurrence of a Change in Control (as defined in the Plan), to the extent outstanding and unvested at such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Limits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this Policy, all compensation payable under this Policy will be subject to any limits on the maximum amount of Non-Employee Director compensation set forth in the Plan, as in effect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Modifications to the Policy</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This Policy may be amended, modified or terminated at any time by action by the Board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 Non-Employee Director shall have any rights hereunder, except with respect to equity awards granted pursuant to this Policy following grant thereof.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WAYSTAR HOLDING CORP.</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NON-EMPLOYEE DIRECTOR DEFERRAL PLAN</w:t>
      </w:r>
    </w:p>
    <w:p>
      <w:pPr>
        <w:spacing w:after="0" w:line="178" w:lineRule="exact"/>
        <w:rPr>
          <w:sz w:val="20"/>
          <w:szCs w:val="20"/>
          <w:color w:val="auto"/>
        </w:rPr>
      </w:pPr>
    </w:p>
    <w:p>
      <w:pPr>
        <w:ind w:firstLine="656"/>
        <w:spacing w:after="0" w:line="241"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the Waystar Holding Corp. Non-Employee Director Deferral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attract and retain the services of experienced individuals to serve on the Board by providing them with opportunities to defer income taxes on certain compensation payable in connection with their service on the Board.</w:t>
      </w:r>
    </w:p>
    <w:p>
      <w:pPr>
        <w:spacing w:after="0" w:line="171" w:lineRule="exact"/>
        <w:rPr>
          <w:rFonts w:ascii="Times New Roman" w:cs="Times New Roman" w:eastAsia="Times New Roman" w:hAnsi="Times New Roman"/>
          <w:sz w:val="22"/>
          <w:szCs w:val="22"/>
          <w:color w:val="auto"/>
        </w:rPr>
      </w:pPr>
    </w:p>
    <w:p>
      <w:pPr>
        <w:ind w:right="40" w:firstLine="656"/>
        <w:spacing w:after="0" w:line="262"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Unless otherwise defined in the Plan, capitalized terms used in the Plan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assigned to them in the Incentive Plan.</w:t>
      </w:r>
    </w:p>
    <w:p>
      <w:pPr>
        <w:spacing w:after="0" w:line="154" w:lineRule="exact"/>
        <w:rPr>
          <w:sz w:val="20"/>
          <w:szCs w:val="20"/>
          <w:color w:val="auto"/>
        </w:rPr>
      </w:pPr>
    </w:p>
    <w:p>
      <w:pPr>
        <w:ind w:right="200" w:firstLine="656"/>
        <w:spacing w:after="0" w:line="239"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Cash Compensation</w:t>
      </w:r>
      <w:r>
        <w:rPr>
          <w:rFonts w:ascii="Times New Roman" w:cs="Times New Roman" w:eastAsia="Times New Roman" w:hAnsi="Times New Roman"/>
          <w:sz w:val="22"/>
          <w:szCs w:val="22"/>
          <w:color w:val="auto"/>
        </w:rPr>
        <w:t>” means, with respect to any Eligible Director, the director compensation otherwise payable in cash to such Eligible Director for services rendered during the calendar year, including cash compensation attributable to any annual retainer, committee chair fees, additional fees, meeting fees or other cash compensation.</w:t>
      </w:r>
    </w:p>
    <w:p>
      <w:pPr>
        <w:spacing w:after="0" w:line="180" w:lineRule="exact"/>
        <w:rPr>
          <w:rFonts w:ascii="Times New Roman" w:cs="Times New Roman" w:eastAsia="Times New Roman" w:hAnsi="Times New Roman"/>
          <w:sz w:val="22"/>
          <w:szCs w:val="22"/>
          <w:color w:val="auto"/>
        </w:rPr>
      </w:pPr>
    </w:p>
    <w:p>
      <w:pPr>
        <w:ind w:right="740"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Account</w:t>
      </w:r>
      <w:r>
        <w:rPr>
          <w:rFonts w:ascii="Times New Roman" w:cs="Times New Roman" w:eastAsia="Times New Roman" w:hAnsi="Times New Roman"/>
          <w:sz w:val="22"/>
          <w:szCs w:val="22"/>
          <w:color w:val="auto"/>
        </w:rPr>
        <w:t>” means a notional bookkeeping account maintained for each Participant reflecting deferrals made under the Plan.</w:t>
      </w:r>
    </w:p>
    <w:p>
      <w:pPr>
        <w:spacing w:after="0" w:line="158" w:lineRule="exact"/>
        <w:rPr>
          <w:rFonts w:ascii="Times New Roman" w:cs="Times New Roman" w:eastAsia="Times New Roman" w:hAnsi="Times New Roman"/>
          <w:sz w:val="22"/>
          <w:szCs w:val="22"/>
          <w:color w:val="auto"/>
        </w:rPr>
      </w:pPr>
    </w:p>
    <w:p>
      <w:pPr>
        <w:ind w:right="160"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Unit</w:t>
      </w:r>
      <w:r>
        <w:rPr>
          <w:rFonts w:ascii="Times New Roman" w:cs="Times New Roman" w:eastAsia="Times New Roman" w:hAnsi="Times New Roman"/>
          <w:sz w:val="22"/>
          <w:szCs w:val="22"/>
          <w:color w:val="auto"/>
        </w:rPr>
        <w:t>” means an unsecured promise to deliver one share of Common Stock on the applicable settlement date of such unit.</w:t>
      </w:r>
    </w:p>
    <w:p>
      <w:pPr>
        <w:spacing w:after="0" w:line="158"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means any dividend equivalent rights granted in connection with any Restricted Stock Unit pursuant to Section 12(c)(iii) of the Incentive Plan.</w:t>
      </w:r>
    </w:p>
    <w:p>
      <w:pPr>
        <w:spacing w:after="0" w:line="158" w:lineRule="exact"/>
        <w:rPr>
          <w:rFonts w:ascii="Times New Roman" w:cs="Times New Roman" w:eastAsia="Times New Roman" w:hAnsi="Times New Roman"/>
          <w:sz w:val="22"/>
          <w:szCs w:val="22"/>
          <w:color w:val="auto"/>
        </w:rPr>
      </w:pPr>
    </w:p>
    <w:p>
      <w:pPr>
        <w:ind w:right="140"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means the form of election established for the purpose of making deferrals under the Plan that is executed by such Participant and filed with the Company.</w:t>
      </w:r>
    </w:p>
    <w:p>
      <w:pPr>
        <w:spacing w:after="0" w:line="158" w:lineRule="exact"/>
        <w:rPr>
          <w:rFonts w:ascii="Times New Roman" w:cs="Times New Roman" w:eastAsia="Times New Roman" w:hAnsi="Times New Roman"/>
          <w:sz w:val="22"/>
          <w:szCs w:val="22"/>
          <w:color w:val="auto"/>
        </w:rPr>
      </w:pPr>
    </w:p>
    <w:p>
      <w:pPr>
        <w:ind w:right="220"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Director</w:t>
      </w:r>
      <w:r>
        <w:rPr>
          <w:rFonts w:ascii="Times New Roman" w:cs="Times New Roman" w:eastAsia="Times New Roman" w:hAnsi="Times New Roman"/>
          <w:sz w:val="22"/>
          <w:szCs w:val="22"/>
          <w:color w:val="auto"/>
        </w:rPr>
        <w:t>” means each member of the Board who is not an employee of the Company or any other member of the Company Group.</w:t>
      </w:r>
    </w:p>
    <w:p>
      <w:pPr>
        <w:spacing w:after="0" w:line="158" w:lineRule="exact"/>
        <w:rPr>
          <w:rFonts w:ascii="Times New Roman" w:cs="Times New Roman" w:eastAsia="Times New Roman" w:hAnsi="Times New Roman"/>
          <w:sz w:val="22"/>
          <w:szCs w:val="22"/>
          <w:color w:val="auto"/>
        </w:rPr>
      </w:pPr>
    </w:p>
    <w:p>
      <w:pPr>
        <w:ind w:right="820" w:firstLine="656"/>
        <w:spacing w:after="0" w:line="25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Plan</w:t>
      </w:r>
      <w:r>
        <w:rPr>
          <w:rFonts w:ascii="Times New Roman" w:cs="Times New Roman" w:eastAsia="Times New Roman" w:hAnsi="Times New Roman"/>
          <w:sz w:val="22"/>
          <w:szCs w:val="22"/>
          <w:color w:val="auto"/>
        </w:rPr>
        <w:t>” means the Waystar Holding Corp. 2024 Equity Incentive Plan, as may be amended from time to time.</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such Eligible Director who makes a deferral under the Plan.</w:t>
      </w:r>
    </w:p>
    <w:p>
      <w:pPr>
        <w:spacing w:after="0" w:line="202" w:lineRule="exact"/>
        <w:rPr>
          <w:sz w:val="20"/>
          <w:szCs w:val="20"/>
          <w:color w:val="auto"/>
        </w:rPr>
      </w:pPr>
    </w:p>
    <w:p>
      <w:pPr>
        <w:ind w:right="700" w:firstLine="656"/>
        <w:spacing w:after="0" w:line="262"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determined by the Committee, each Eligible Director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participate in the Plan.</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i w:val="1"/>
          <w:iCs w:val="1"/>
          <w:color w:val="auto"/>
        </w:rPr>
        <w:t>.</w:t>
      </w:r>
    </w:p>
    <w:p>
      <w:pPr>
        <w:spacing w:after="0" w:line="210" w:lineRule="exact"/>
        <w:rPr>
          <w:sz w:val="20"/>
          <w:szCs w:val="20"/>
          <w:color w:val="auto"/>
        </w:rPr>
      </w:pPr>
    </w:p>
    <w:p>
      <w:pPr>
        <w:ind w:right="160" w:firstLine="656"/>
        <w:spacing w:after="0" w:line="253" w:lineRule="auto"/>
        <w:tabs>
          <w:tab w:leader="none" w:pos="1296"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shall be administered by the Committee. Subject to the terms of the Plan and applicable law, the Committee shall have full power and authority to: (i) designate Eligible Directors for participation;</w:t>
      </w:r>
    </w:p>
    <w:p>
      <w:pPr>
        <w:ind w:right="100" w:firstLine="8"/>
        <w:spacing w:after="0" w:line="234" w:lineRule="auto"/>
        <w:tabs>
          <w:tab w:leader="none" w:pos="3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deferral made under the Plan; (iii) interpret and administer the Plan and any instrument or agreement relating to, or deferral made under, the Plan; (iv) establish, amend, suspend or waive such rules and regulations and appoint such agents as it shall deem appropriate for the proper administration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764540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51" w:name="page152"/>
    <w:bookmarkEnd w:id="151"/>
    <w:p>
      <w:pPr>
        <w:ind w:right="120"/>
        <w:spacing w:after="0" w:line="236" w:lineRule="auto"/>
        <w:rPr>
          <w:sz w:val="20"/>
          <w:szCs w:val="20"/>
          <w:color w:val="auto"/>
        </w:rPr>
      </w:pPr>
      <w:r>
        <w:rPr>
          <w:rFonts w:ascii="Times New Roman" w:cs="Times New Roman" w:eastAsia="Times New Roman" w:hAnsi="Times New Roman"/>
          <w:sz w:val="22"/>
          <w:szCs w:val="22"/>
          <w:color w:val="auto"/>
        </w:rPr>
        <w:t>the Plan; and (v) make any other determination and take any other action that the Committee deems necessary or desirable for the administration of the Plan. To the extent legally permitted, the Committee may, in its discretion, delegate to one or more officers of the Company any or all authority and responsibility to act with respect to administrative matters with respect to the Plan. The determination of the Committee on all matters within its authority relating to the Plan shall be final, conclusive and binding upon all parties, including the Company, its shareholders and the Participants.</w:t>
      </w:r>
    </w:p>
    <w:p>
      <w:pPr>
        <w:spacing w:after="0" w:line="181" w:lineRule="exact"/>
        <w:rPr>
          <w:sz w:val="20"/>
          <w:szCs w:val="20"/>
          <w:color w:val="auto"/>
        </w:rPr>
      </w:pPr>
    </w:p>
    <w:p>
      <w:pPr>
        <w:ind w:right="220" w:firstLine="656"/>
        <w:spacing w:after="0" w:line="244" w:lineRule="auto"/>
        <w:tabs>
          <w:tab w:leader="none" w:pos="12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the Plan, the Board may, in its sole discretion, at any time and from time to time, administer the Plan. In any such case, the Board shall have all the authority granted to the Committee under the Plan.</w:t>
      </w:r>
    </w:p>
    <w:p>
      <w:pPr>
        <w:spacing w:after="0" w:line="16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Deferrals under the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60" w:right="40" w:firstLine="644"/>
        <w:spacing w:after="0" w:line="244" w:lineRule="auto"/>
        <w:tabs>
          <w:tab w:leader="none" w:pos="195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Director may elect to defer receipt of all or a portion of (A) Annual Cash Compensation and/or (B) any shares of Common Stock issuable upon vesting of any Restricted Stock Unit granted to such Eligible Director, in each case, in 25% increments.</w:t>
      </w:r>
    </w:p>
    <w:p>
      <w:pPr>
        <w:spacing w:after="0" w:line="173" w:lineRule="exact"/>
        <w:rPr>
          <w:rFonts w:ascii="Times New Roman" w:cs="Times New Roman" w:eastAsia="Times New Roman" w:hAnsi="Times New Roman"/>
          <w:sz w:val="22"/>
          <w:szCs w:val="22"/>
          <w:color w:val="auto"/>
        </w:rPr>
      </w:pPr>
    </w:p>
    <w:p>
      <w:pPr>
        <w:ind w:left="660" w:right="40" w:firstLine="644"/>
        <w:spacing w:after="0" w:line="244" w:lineRule="auto"/>
        <w:tabs>
          <w:tab w:leader="none" w:pos="195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deferral election shall be made pursuant to an Election Form. Each Election Form will remain in effect until superseded or revoked pursuant to this Section 5. The Election Form will require a Participant to specify:</w:t>
      </w:r>
    </w:p>
    <w:p>
      <w:pPr>
        <w:spacing w:after="0" w:line="173" w:lineRule="exact"/>
        <w:rPr>
          <w:rFonts w:ascii="Times New Roman" w:cs="Times New Roman" w:eastAsia="Times New Roman" w:hAnsi="Times New Roman"/>
          <w:sz w:val="22"/>
          <w:szCs w:val="22"/>
          <w:color w:val="auto"/>
        </w:rPr>
      </w:pPr>
    </w:p>
    <w:p>
      <w:pPr>
        <w:ind w:left="980" w:right="140" w:firstLine="972"/>
        <w:spacing w:after="0" w:line="244" w:lineRule="auto"/>
        <w:tabs>
          <w:tab w:leader="none" w:pos="2600"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(A) Annual Cash Compensation and/or (B) shares of Common Stock issuable upon vesting of any Restricted Stock Unit that will be deferred into a Participant’s Deferral Account under the Plan; and</w:t>
      </w:r>
    </w:p>
    <w:p>
      <w:pPr>
        <w:spacing w:after="0" w:line="173" w:lineRule="exact"/>
        <w:rPr>
          <w:rFonts w:ascii="Times New Roman" w:cs="Times New Roman" w:eastAsia="Times New Roman" w:hAnsi="Times New Roman"/>
          <w:sz w:val="22"/>
          <w:szCs w:val="22"/>
          <w:color w:val="auto"/>
        </w:rPr>
      </w:pPr>
    </w:p>
    <w:p>
      <w:pPr>
        <w:ind w:left="980" w:right="220" w:firstLine="972"/>
        <w:spacing w:after="0" w:line="258" w:lineRule="auto"/>
        <w:tabs>
          <w:tab w:leader="none" w:pos="2600"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at which amounts to be credited to such Participant’s Deferral Account in connection with any Election Form will be distributed.</w:t>
      </w:r>
    </w:p>
    <w:p>
      <w:pPr>
        <w:spacing w:after="0" w:line="158"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Form relating to Annual Cash Compensation and/or Restricted Stock Units must be completed prior to the beginning of the calendar year to which such Annual Cash Compensation is otherwise payable or such Restricted Stock Units may be granted, as applicable. Notwithstanding the foregoing, an Election Form filed by a Participant within 30 days after such Participant first becomes an Eligible Director may apply to Annual Cash Compensation or Restricted Stock Units that relate to services performed following the date on which such Participant executes such Election Form.</w:t>
      </w:r>
    </w:p>
    <w:p>
      <w:pPr>
        <w:spacing w:after="0" w:line="181" w:lineRule="exact"/>
        <w:rPr>
          <w:rFonts w:ascii="Times New Roman" w:cs="Times New Roman" w:eastAsia="Times New Roman" w:hAnsi="Times New Roman"/>
          <w:sz w:val="22"/>
          <w:szCs w:val="22"/>
          <w:color w:val="auto"/>
        </w:rPr>
      </w:pPr>
    </w:p>
    <w:p>
      <w:pPr>
        <w:ind w:right="40" w:firstLine="656"/>
        <w:spacing w:after="0" w:line="251" w:lineRule="auto"/>
        <w:tabs>
          <w:tab w:leader="none" w:pos="129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who has an Election Form on file with the Company may execute and file with the Company a subsequent Election Form at any time. Such subsequent Election Form shall apply to any Annual Cash Compensation and/or Restricted Stock Units paid or granted to such Participant following the end of the year in which such subsequent Election Form is executed. A Participant may also revoke an Election Form at any time by providing written notice to the General Counsel of the Company. Such revocation shall apply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2" w:name="page153"/>
    <w:bookmarkEnd w:id="152"/>
    <w:p>
      <w:pPr>
        <w:ind w:right="40"/>
        <w:spacing w:after="0" w:line="258" w:lineRule="auto"/>
        <w:rPr>
          <w:sz w:val="20"/>
          <w:szCs w:val="20"/>
          <w:color w:val="auto"/>
        </w:rPr>
      </w:pPr>
      <w:r>
        <w:rPr>
          <w:rFonts w:ascii="Times New Roman" w:cs="Times New Roman" w:eastAsia="Times New Roman" w:hAnsi="Times New Roman"/>
          <w:sz w:val="22"/>
          <w:szCs w:val="22"/>
          <w:color w:val="auto"/>
        </w:rPr>
        <w:t>Annual Cash Compensation and/or Restricted Stock Units paid or granted to such Participant following the end of the year in which such notice is provided.</w:t>
      </w:r>
    </w:p>
    <w:p>
      <w:pPr>
        <w:spacing w:after="0" w:line="158" w:lineRule="exact"/>
        <w:rPr>
          <w:sz w:val="20"/>
          <w:szCs w:val="20"/>
          <w:color w:val="auto"/>
        </w:rPr>
      </w:pPr>
    </w:p>
    <w:p>
      <w:pPr>
        <w:ind w:firstLine="656"/>
        <w:spacing w:after="0" w:line="234" w:lineRule="auto"/>
        <w:tabs>
          <w:tab w:leader="none" w:pos="12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may elect to redefer the issuance of shares of Common Stock upon distribution from such Participant’s Deferral Account to a time following the time specified on the applicable Election 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such redeferral (i) will not take effect for at least 12 months after the date on which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redeferral election is made; (ii) must defer the distribution for at least five years from the date the original distribution would have otherwise been made; and (iii) must be made at least 12 months before the date the distribution would have otherwise been made. Any redeferral election that does not satisfy the applicable foregoing requirements will be invalid, null, and void, and the payment schedule set forth in such previous Election Form shall control. Such redeferral election shall be made in the form of a document established for such purpose by the Committee that is executed by such Participant and filed with the General Counsel of the Company.</w:t>
      </w:r>
    </w:p>
    <w:p>
      <w:pPr>
        <w:spacing w:after="0" w:line="175"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Deferral Accounts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360" w:firstLine="656"/>
        <w:spacing w:after="0" w:line="239"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a Deferral Account on behalf of each Participant and shall make additions to and subtractions from such Deferral Account as provided herein. Sub-accounts may be created to reflect deferrals under the Plan relating to any calendar year and to reflect the type of deferral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deferrals in respect of Annual Cash Compensation and Restricted Stock Units).</w:t>
      </w:r>
    </w:p>
    <w:p>
      <w:pPr>
        <w:spacing w:after="0" w:line="180" w:lineRule="exact"/>
        <w:rPr>
          <w:rFonts w:ascii="Times New Roman" w:cs="Times New Roman" w:eastAsia="Times New Roman" w:hAnsi="Times New Roman"/>
          <w:sz w:val="22"/>
          <w:szCs w:val="22"/>
          <w:color w:val="auto"/>
        </w:rPr>
      </w:pPr>
    </w:p>
    <w:p>
      <w:pPr>
        <w:ind w:right="20" w:firstLine="656"/>
        <w:spacing w:after="0" w:line="235"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Annual Cash Compensation that has been deferred under the Plan pursuant to an Election Form (“</w:t>
      </w:r>
      <w:r>
        <w:rPr>
          <w:rFonts w:ascii="Times New Roman" w:cs="Times New Roman" w:eastAsia="Times New Roman" w:hAnsi="Times New Roman"/>
          <w:sz w:val="22"/>
          <w:szCs w:val="22"/>
          <w:u w:val="single" w:color="auto"/>
          <w:color w:val="auto"/>
        </w:rPr>
        <w:t>Deferred Cash Amounts</w:t>
      </w:r>
      <w:r>
        <w:rPr>
          <w:rFonts w:ascii="Times New Roman" w:cs="Times New Roman" w:eastAsia="Times New Roman" w:hAnsi="Times New Roman"/>
          <w:sz w:val="22"/>
          <w:szCs w:val="22"/>
          <w:color w:val="auto"/>
        </w:rPr>
        <w:t>”) shall be credited to the Participant’s Deferral Account and shall be deemed to be invested in that number of Deferred Stock Units equal to the quotient obtained by dividing (i) the dollar amount of such Deferred Cash Amounts by (ii) the Fair Market Value on the date the Deferred Cash Amounts then being credited to the Deferral Account would otherwise have been paid to the Participant. All shares of Common Stock issuable upon vesting of any Restricted Stock Unit that have been deferred under the Plan pursuant to an Election Form shall be credited to the Participant’s Deferral Account as a number of Deferred Stock Units equal to the number of shares of Common Stock so deferred.</w:t>
      </w:r>
    </w:p>
    <w:p>
      <w:pPr>
        <w:spacing w:after="0" w:line="178" w:lineRule="exact"/>
        <w:rPr>
          <w:rFonts w:ascii="Times New Roman" w:cs="Times New Roman" w:eastAsia="Times New Roman" w:hAnsi="Times New Roman"/>
          <w:sz w:val="22"/>
          <w:szCs w:val="22"/>
          <w:color w:val="auto"/>
        </w:rPr>
      </w:pPr>
    </w:p>
    <w:p>
      <w:pPr>
        <w:ind w:right="460" w:firstLine="656"/>
        <w:spacing w:after="0" w:line="258"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Units credited to a Participant’s Deferral Account shall be entitled to Dividend Equivalent Rights.</w:t>
      </w:r>
    </w:p>
    <w:p>
      <w:pPr>
        <w:spacing w:after="0" w:line="158" w:lineRule="exact"/>
        <w:rPr>
          <w:rFonts w:ascii="Times New Roman" w:cs="Times New Roman" w:eastAsia="Times New Roman" w:hAnsi="Times New Roman"/>
          <w:sz w:val="22"/>
          <w:szCs w:val="22"/>
          <w:color w:val="auto"/>
        </w:rPr>
      </w:pPr>
    </w:p>
    <w:p>
      <w:pPr>
        <w:ind w:right="560" w:firstLine="656"/>
        <w:spacing w:after="0" w:line="261" w:lineRule="auto"/>
        <w:tabs>
          <w:tab w:leader="none" w:pos="129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Deferred Stock Units credited to a Participant’s Deferral Account, including those credited in connection with Dividend Equivalent Rights, shall be awarded from and remain subject to the terms of the Incentive Plan, including, without limitation, Section 10 thereof in connection with any Adjustment Event.</w:t>
      </w:r>
    </w:p>
    <w:p>
      <w:pPr>
        <w:spacing w:after="0" w:line="153"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Timing and Form of Distribution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656"/>
        <w:spacing w:after="0" w:line="239" w:lineRule="auto"/>
        <w:tabs>
          <w:tab w:leader="none" w:pos="129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Section 7, at the time specified on the applicable Election Form, the Participant shall receive a number of shares of Common Stock equal to the number of Deferred Stock Units initially credited to the Participant’s Deferral Account in connection with such Election Form plus the number of Deferred Stock Units credited in respect of such initially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3" w:name="page154"/>
    <w:bookmarkEnd w:id="153"/>
    <w:p>
      <w:pPr>
        <w:ind w:right="420"/>
        <w:spacing w:after="0" w:line="258" w:lineRule="auto"/>
        <w:rPr>
          <w:sz w:val="20"/>
          <w:szCs w:val="20"/>
          <w:color w:val="auto"/>
        </w:rPr>
      </w:pPr>
      <w:r>
        <w:rPr>
          <w:rFonts w:ascii="Times New Roman" w:cs="Times New Roman" w:eastAsia="Times New Roman" w:hAnsi="Times New Roman"/>
          <w:sz w:val="22"/>
          <w:szCs w:val="22"/>
          <w:color w:val="auto"/>
        </w:rPr>
        <w:t>credited Deferred Stock Units as a result of any Dividend Equivalent Rights, and the Company shall debit the Participant’s Deferral Account accordingly.</w:t>
      </w:r>
    </w:p>
    <w:p>
      <w:pPr>
        <w:spacing w:after="0" w:line="158" w:lineRule="exact"/>
        <w:rPr>
          <w:sz w:val="20"/>
          <w:szCs w:val="20"/>
          <w:color w:val="auto"/>
        </w:rPr>
      </w:pPr>
    </w:p>
    <w:p>
      <w:pPr>
        <w:ind w:right="140" w:firstLine="656"/>
        <w:spacing w:after="0" w:line="244" w:lineRule="auto"/>
        <w:tabs>
          <w:tab w:leader="none" w:pos="12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in its sole discretion, may accelerate the distribution of all or a portion of a Participant’s Deferral Account if such Participant experiences an unforeseeable emergency or hardship, provided that such distribution complies with Section 409A of the Code.</w:t>
      </w:r>
    </w:p>
    <w:p>
      <w:pPr>
        <w:spacing w:after="0" w:line="173" w:lineRule="exact"/>
        <w:rPr>
          <w:rFonts w:ascii="Times New Roman" w:cs="Times New Roman" w:eastAsia="Times New Roman" w:hAnsi="Times New Roman"/>
          <w:sz w:val="22"/>
          <w:szCs w:val="22"/>
          <w:color w:val="auto"/>
        </w:rPr>
      </w:pPr>
    </w:p>
    <w:p>
      <w:pPr>
        <w:ind w:right="200" w:firstLine="656"/>
        <w:spacing w:after="0" w:line="244" w:lineRule="auto"/>
        <w:tabs>
          <w:tab w:leader="none" w:pos="12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the Plan to the contrary, the entirety of a Participant’s Deferral Account shall be distributed in accordance with subsection (a) above upon a Change in Control or such Participant’s death.</w:t>
      </w:r>
    </w:p>
    <w:p>
      <w:pPr>
        <w:spacing w:after="0" w:line="169"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Provisions Applicable to Deferrals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656"/>
        <w:spacing w:after="0" w:line="241" w:lineRule="auto"/>
        <w:tabs>
          <w:tab w:leader="none" w:pos="12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permitted by the Committee, (i) no deferral and no right under such deferral shall be assignable, alienable, saleable or transferable by a Participant otherwise than by will or pursuant to</w:t>
      </w:r>
    </w:p>
    <w:p>
      <w:pPr>
        <w:spacing w:after="0" w:line="1" w:lineRule="exact"/>
        <w:rPr>
          <w:rFonts w:ascii="Times New Roman" w:cs="Times New Roman" w:eastAsia="Times New Roman" w:hAnsi="Times New Roman"/>
          <w:sz w:val="22"/>
          <w:szCs w:val="22"/>
          <w:color w:val="auto"/>
        </w:rPr>
      </w:pPr>
    </w:p>
    <w:p>
      <w:pPr>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8(b) and (ii) during a Participant’s lifetime, each deferral, and each right under such deferral, shall be exercisable only by such Participant or, if permissible under applicable law, by such Participant’s guardian or legal representative. The provisions of this Section 8(a) shall not apply to any deferral that has been distributed to a Participant.</w:t>
      </w:r>
    </w:p>
    <w:p>
      <w:pPr>
        <w:spacing w:after="0" w:line="177"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 written designation of beneficiary or beneficiaries to receive all or part of the distributions under this Plan in the event of death at such times prescribed by the Committee by using forms and following procedures approved or accepted by the Committee for that purpose. Any shares of Common Stock that become payable upon death, and as to which a designation of beneficiary is not in effect, will be distributed to the Participant’s estate.</w:t>
      </w:r>
    </w:p>
    <w:p>
      <w:pPr>
        <w:spacing w:after="0" w:line="176" w:lineRule="exact"/>
        <w:rPr>
          <w:rFonts w:ascii="Times New Roman" w:cs="Times New Roman" w:eastAsia="Times New Roman" w:hAnsi="Times New Roman"/>
          <w:sz w:val="22"/>
          <w:szCs w:val="22"/>
          <w:color w:val="auto"/>
        </w:rPr>
      </w:pPr>
    </w:p>
    <w:p>
      <w:pPr>
        <w:ind w:right="140" w:firstLine="656"/>
        <w:spacing w:after="0" w:line="258" w:lineRule="auto"/>
        <w:tabs>
          <w:tab w:leader="none" w:pos="12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distribution of shares of Common Stock, the Participant will be the beneficial owner of the net shares of Common Stock issued and will be entitled to all rights of ownership.</w:t>
      </w:r>
    </w:p>
    <w:p>
      <w:pPr>
        <w:spacing w:after="0" w:line="154"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and Termination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120" w:firstLine="656"/>
        <w:spacing w:after="0" w:line="236" w:lineRule="auto"/>
        <w:tabs>
          <w:tab w:leader="none" w:pos="12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in its sole discretion, may amend, suspend or discontinue the Plan or any deferral at any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such amendment, suspension or discontinuance shall reduce the accrued benefit of any Participant except to the extent necessary to comply with applicable law. The Committee further has the right, without a Participant’s consent, to amend or modify the terms of the Plan and such Participant’s deferral to the extent that the Committee deems it necessary to avoid adverse or unintended tax consequences to such Participant under federal, state or local income tax laws.</w:t>
      </w:r>
    </w:p>
    <w:p>
      <w:pPr>
        <w:spacing w:after="0" w:line="181" w:lineRule="exact"/>
        <w:rPr>
          <w:rFonts w:ascii="Times New Roman" w:cs="Times New Roman" w:eastAsia="Times New Roman" w:hAnsi="Times New Roman"/>
          <w:sz w:val="22"/>
          <w:szCs w:val="22"/>
          <w:color w:val="auto"/>
        </w:rPr>
      </w:pPr>
    </w:p>
    <w:p>
      <w:pPr>
        <w:ind w:right="880" w:firstLine="656"/>
        <w:spacing w:after="0" w:line="258" w:lineRule="auto"/>
        <w:tabs>
          <w:tab w:leader="none" w:pos="12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in its sole discretion, may terminate the Plan at any time, as long as such termination complies with then applicable tax and other requirements.</w:t>
      </w:r>
    </w:p>
    <w:p>
      <w:pPr>
        <w:spacing w:after="0" w:line="158" w:lineRule="exact"/>
        <w:rPr>
          <w:rFonts w:ascii="Times New Roman" w:cs="Times New Roman" w:eastAsia="Times New Roman" w:hAnsi="Times New Roman"/>
          <w:sz w:val="22"/>
          <w:szCs w:val="22"/>
          <w:color w:val="auto"/>
        </w:rPr>
      </w:pPr>
    </w:p>
    <w:p>
      <w:pPr>
        <w:ind w:right="740" w:firstLine="656"/>
        <w:spacing w:after="0" w:line="258" w:lineRule="auto"/>
        <w:tabs>
          <w:tab w:leader="none" w:pos="12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changes to deferrals shall be permitted and honored under the Plan to the extent authorized by the Committee and consistent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1" w:right="1019" w:bottom="1440" w:gutter="0" w:footer="0" w:header="0"/>
        </w:sectPr>
      </w:pPr>
    </w:p>
    <w:bookmarkStart w:id="154" w:name="page155"/>
    <w:bookmarkEnd w:id="154"/>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656"/>
        <w:spacing w:after="0" w:line="244"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Eligible Director or other person shall have any claim to be entitled to make a deferral under the Plan, and there is no obligation for uniformity of treatment of Participants or beneficiaries under the Plan. The terms and conditions of deferrals under the Plan need not be the same with respect to each Participant.</w:t>
      </w:r>
    </w:p>
    <w:p>
      <w:pPr>
        <w:spacing w:after="0" w:line="173" w:lineRule="exact"/>
        <w:rPr>
          <w:rFonts w:ascii="Times New Roman" w:cs="Times New Roman" w:eastAsia="Times New Roman" w:hAnsi="Times New Roman"/>
          <w:sz w:val="22"/>
          <w:szCs w:val="22"/>
          <w:color w:val="auto"/>
        </w:rPr>
      </w:pPr>
    </w:p>
    <w:p>
      <w:pPr>
        <w:jc w:val="both"/>
        <w:ind w:right="40" w:firstLine="656"/>
        <w:spacing w:after="0" w:line="261" w:lineRule="auto"/>
        <w:tabs>
          <w:tab w:leader="none" w:pos="129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opportunity to make a deferral under the Plan shall not be construed as giving a Participant the right to be retained in the service of the Committee or the Company. A Participant’s deferral under the Plan is not intended to confer any rights on such Participant except as set forth in the Plan and the applicable Election Form.</w:t>
      </w:r>
    </w:p>
    <w:p>
      <w:pPr>
        <w:spacing w:after="0" w:line="157" w:lineRule="exact"/>
        <w:rPr>
          <w:rFonts w:ascii="Times New Roman" w:cs="Times New Roman" w:eastAsia="Times New Roman" w:hAnsi="Times New Roman"/>
          <w:sz w:val="21"/>
          <w:szCs w:val="21"/>
          <w:color w:val="auto"/>
        </w:rPr>
      </w:pPr>
    </w:p>
    <w:p>
      <w:pPr>
        <w:ind w:right="380" w:firstLine="656"/>
        <w:spacing w:after="0" w:line="244"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73" w:lineRule="exact"/>
        <w:rPr>
          <w:rFonts w:ascii="Times New Roman" w:cs="Times New Roman" w:eastAsia="Times New Roman" w:hAnsi="Times New Roman"/>
          <w:sz w:val="22"/>
          <w:szCs w:val="22"/>
          <w:color w:val="auto"/>
        </w:rPr>
      </w:pPr>
    </w:p>
    <w:p>
      <w:pPr>
        <w:ind w:right="20" w:firstLine="656"/>
        <w:spacing w:after="0" w:line="235"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the Plan or any Election Form is or becomes or is deemed to be invalid, illegal or unenforceable in any jurisdiction, or as to any person or deferral, or would disqualify the Plan or any deferral under any law deemed applicable by the Committee, such provision shall be construed or deemed amended to conform to applicable laws, or if it cannot be so construed or deemed amended without, in the determination of the Committee, materially altering the intent of the Plan or such Election Form, such provision shall be stricken as to such jurisdiction, person or deferral, and the remainder of the Plan and such Election Form shall remain in full force and effect.</w:t>
      </w:r>
    </w:p>
    <w:p>
      <w:pPr>
        <w:spacing w:after="0" w:line="179"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Effective Date of the Plan</w:t>
      </w:r>
      <w:r>
        <w:rPr>
          <w:rFonts w:ascii="Times New Roman" w:cs="Times New Roman" w:eastAsia="Times New Roman" w:hAnsi="Times New Roman"/>
          <w:sz w:val="21"/>
          <w:szCs w:val="21"/>
          <w:color w:val="auto"/>
        </w:rPr>
        <w:t>. The Plan shall be effective as of the date on which the Plan is adopted</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the Board.</w:t>
      </w:r>
    </w:p>
    <w:p>
      <w:pPr>
        <w:spacing w:after="0" w:line="178" w:lineRule="exact"/>
        <w:rPr>
          <w:rFonts w:ascii="Times New Roman" w:cs="Times New Roman" w:eastAsia="Times New Roman" w:hAnsi="Times New Roman"/>
          <w:sz w:val="21"/>
          <w:szCs w:val="21"/>
          <w:color w:val="auto"/>
        </w:rPr>
      </w:pPr>
    </w:p>
    <w:p>
      <w:pPr>
        <w:ind w:right="40" w:firstLine="656"/>
        <w:spacing w:after="0" w:line="235"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Unfunded Status of the Plan</w:t>
      </w:r>
      <w:r>
        <w:rPr>
          <w:rFonts w:ascii="Times New Roman" w:cs="Times New Roman" w:eastAsia="Times New Roman" w:hAnsi="Times New Roman"/>
          <w:sz w:val="22"/>
          <w:szCs w:val="22"/>
          <w:color w:val="auto"/>
        </w:rPr>
        <w:t>. The Plan is unfunded. The Plan, together with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Form, shall represent at all times an unfunded and unsecured contractual obligation of the Company. Each Participant and beneficiary will be an unsecured creditor of the Company with respect to all obligations owed to them under the Plan. No Participant or beneficiary will have any interest in any fund or in any specific asset of the Company of any kind, nor shall such Participant or beneficiary or any other person have any right to receive any payment or distribution under the Plan except as, and to the extent, expressly provided in the Plan and the applicable Election Form. Any reserve or other asset that the Company may establish or acquire to assure itself of the funds to provide payments required under the Plan shall not serve in any way as security to any Participant or beneficiary for the Company’s performance under the Plan.</w:t>
      </w:r>
    </w:p>
    <w:p>
      <w:pPr>
        <w:spacing w:after="0" w:line="173" w:lineRule="exact"/>
        <w:rPr>
          <w:rFonts w:ascii="Times New Roman" w:cs="Times New Roman" w:eastAsia="Times New Roman" w:hAnsi="Times New Roman"/>
          <w:sz w:val="22"/>
          <w:szCs w:val="22"/>
          <w:color w:val="auto"/>
        </w:rPr>
      </w:pPr>
    </w:p>
    <w:p>
      <w:pPr>
        <w:ind w:right="60" w:firstLine="656"/>
        <w:spacing w:after="0" w:line="237"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of the Code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deferrals that are subject to Section 409A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intended to comply with the requirements of Section 409A of the Code, and the provisions of the Plan and any Election Form shall be interpreted in a manner that satisfies the requirements of Section 409A of the Code, and the Plan shall be operated accordingly. If any provision of the Plan or any term or condition of any Election Form would otherwise frustrate or conflict with this intent, the provision, term or condition will be interpreted and deemed amended so as to avoid this conflict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anything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07" w:right="1019" w:bottom="1440" w:gutter="0" w:footer="0" w:header="0"/>
        </w:sectPr>
      </w:pPr>
    </w:p>
    <w:bookmarkStart w:id="155" w:name="page156"/>
    <w:bookmarkEnd w:id="155"/>
    <w:p>
      <w:pPr>
        <w:spacing w:after="0" w:line="234" w:lineRule="auto"/>
        <w:rPr>
          <w:sz w:val="20"/>
          <w:szCs w:val="20"/>
          <w:color w:val="auto"/>
        </w:rPr>
      </w:pPr>
      <w:r>
        <w:rPr>
          <w:rFonts w:ascii="Times New Roman" w:cs="Times New Roman" w:eastAsia="Times New Roman" w:hAnsi="Times New Roman"/>
          <w:sz w:val="22"/>
          <w:szCs w:val="22"/>
          <w:color w:val="auto"/>
        </w:rPr>
        <w:t>Plan to the contrary, distributions may only be made under the Plan upon an event and in a manner permitted by Section 409A of the Code, and all payments to be made upon termination of a Participant’s service from the Board under this Plan may only be made upon a “separation from service” under Section 409A of the Code. If any Participant is a “specified employee” under Section 409A of the Code (as determined by the Committee) and if the Participant’s distribution under the Plan is to commence, or be paid upon, separation from service, payment of the distribution shall be delayed for a period of six months after the Participant’s separation date, if required pursuant to Section 409A of the Code. If payment is delayed, the accumulated postponed amount shall be paid within 10 days after the end of the six-month period following the date on which the Participant separates from service.</w:t>
      </w:r>
    </w:p>
    <w:p>
      <w:pPr>
        <w:spacing w:after="0" w:line="179" w:lineRule="exact"/>
        <w:rPr>
          <w:sz w:val="20"/>
          <w:szCs w:val="20"/>
          <w:color w:val="auto"/>
        </w:rPr>
      </w:pPr>
    </w:p>
    <w:p>
      <w:pPr>
        <w:ind w:right="280" w:firstLine="656"/>
        <w:spacing w:after="0" w:line="246" w:lineRule="auto"/>
        <w:tabs>
          <w:tab w:leader="none" w:pos="129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shall be governed by and construed in accordance with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applicable to contracts made and performed wholly within the State of Delaware, without giving effect to the conflict of laws provisions thereof.</w:t>
      </w:r>
    </w:p>
    <w:p>
      <w:pPr>
        <w:spacing w:after="0" w:line="171" w:lineRule="exact"/>
        <w:rPr>
          <w:rFonts w:ascii="Times New Roman" w:cs="Times New Roman" w:eastAsia="Times New Roman" w:hAnsi="Times New Roman"/>
          <w:sz w:val="22"/>
          <w:szCs w:val="22"/>
          <w:color w:val="auto"/>
        </w:rPr>
      </w:pPr>
    </w:p>
    <w:p>
      <w:pPr>
        <w:ind w:left="4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May 24,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Waystar,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Christopher L. Schremser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desires to continue to employ Executive and to enter into this Agreement embodying the terms of such continued employment, and Executive desires to enter into this Agreement and to accept such continued employment, subject to the terms and provisions of this Agreement; and</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Executive is a party to an employment agreement with the Company or a subsidiary thereof, dated October 13, 2017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which shall be superseded in its entirety by this Agreement as of the Effective Date.</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6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Capitalized terms not otherwise defined in this Agreement shall have the meaning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attached hereto.</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b w:val="1"/>
          <w:bCs w:val="1"/>
          <w:color w:val="auto"/>
        </w:rPr>
        <w:t>Acceptance and Term of Employment</w:t>
      </w:r>
      <w:r>
        <w:rPr>
          <w:rFonts w:ascii="Times New Roman" w:cs="Times New Roman" w:eastAsia="Times New Roman" w:hAnsi="Times New Roman"/>
          <w:sz w:val="22"/>
          <w:szCs w:val="22"/>
          <w:color w:val="auto"/>
        </w:rPr>
        <w:t>. The Company agrees to continue to employ Executive, and Executive agrees to continue to be employed by the Company, on the terms and conditions set forth herein. Executive’s employment hereunder shall commence on the Effective Date and continue until terminated as provided in Section 7 hereof (the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b w:val="1"/>
          <w:bCs w:val="1"/>
          <w:color w:val="auto"/>
        </w:rPr>
        <w:t>Position, Duties, and Responsibilities; Place of Performance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6"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Duties, and Responsibilities</w:t>
      </w:r>
      <w:r>
        <w:rPr>
          <w:rFonts w:ascii="Times New Roman" w:cs="Times New Roman" w:eastAsia="Times New Roman" w:hAnsi="Times New Roman"/>
          <w:sz w:val="22"/>
          <w:szCs w:val="22"/>
          <w:color w:val="auto"/>
        </w:rPr>
        <w:t>. During the Term of Employment, Executive shall be employed and serve as the Chief Technology Officer of the Company, reporting directly to the Company’s Chief Executive Officer or such other officer of the Company that the Board or the Company’s Chief Executive Officer designates from time to time, and having such duties and responsibilities commensurate with such position. Executive also agrees to serve as an officer and/or director of any member of the Company Group, in each case, without additional compensation.</w:t>
      </w:r>
    </w:p>
    <w:p>
      <w:pPr>
        <w:spacing w:after="0" w:line="181"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Executive shall devote Executive’s full business time, attention, skill, and best efforts to the performance of Executive’s duties under this Agreement (excluding periods of vacation and sick leave) and shall not engage in any other business or occupation during the Term of Employment,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(which shall not be unreasonably withheld), as a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57" w:name="page158"/>
    <w:bookmarkEnd w:id="157"/>
    <w:p>
      <w:pPr>
        <w:spacing w:after="0" w:line="253" w:lineRule="auto"/>
        <w:rPr>
          <w:sz w:val="20"/>
          <w:szCs w:val="20"/>
          <w:color w:val="auto"/>
        </w:rPr>
      </w:pPr>
      <w:r>
        <w:rPr>
          <w:rFonts w:ascii="Times New Roman" w:cs="Times New Roman" w:eastAsia="Times New Roman" w:hAnsi="Times New Roman"/>
          <w:sz w:val="21"/>
          <w:szCs w:val="21"/>
          <w:color w:val="auto"/>
        </w:rPr>
        <w:t>board of directors or advisory board (or the equivalent in the case of a non-corporate entity) of non-competing for-profit businesses and charitable organizations, (ii) engaging in charitable activities and community affairs, and</w:t>
      </w:r>
    </w:p>
    <w:p>
      <w:pPr>
        <w:spacing w:after="0" w:line="1" w:lineRule="exact"/>
        <w:rPr>
          <w:sz w:val="20"/>
          <w:szCs w:val="20"/>
          <w:color w:val="auto"/>
        </w:rPr>
      </w:pPr>
    </w:p>
    <w:p>
      <w:pPr>
        <w:jc w:val="both"/>
        <w:ind w:firstLine="8"/>
        <w:spacing w:after="0" w:line="235" w:lineRule="auto"/>
        <w:tabs>
          <w:tab w:leader="none" w:pos="42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managing Executive’s personal investments and affairs;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activities set out in clauses (i), (ii), and (iii) shall be limited by Executive so as not to materially interfere, individually or in the aggregate, with the performance of Executive’s duties and responsibilities hereunder.</w:t>
      </w:r>
    </w:p>
    <w:p>
      <w:pPr>
        <w:spacing w:after="0" w:line="17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Employment</w:t>
      </w:r>
      <w:r>
        <w:rPr>
          <w:rFonts w:ascii="Times New Roman" w:cs="Times New Roman" w:eastAsia="Times New Roman" w:hAnsi="Times New Roman"/>
          <w:sz w:val="22"/>
          <w:szCs w:val="22"/>
          <w:color w:val="auto"/>
        </w:rPr>
        <w:t>. Executive’s principal place of employment shall be Louisville, Kentucky, although Executive understands and agrees that Executive may be required to travel from time to time for business reasons.</w:t>
      </w:r>
    </w:p>
    <w:p>
      <w:pPr>
        <w:spacing w:after="0" w:line="16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During the Term of Employment, Executive shall be entitled to the following compensation:</w:t>
      </w:r>
    </w:p>
    <w:p>
      <w:pPr>
        <w:spacing w:after="0" w:line="154" w:lineRule="exact"/>
        <w:rPr>
          <w:sz w:val="20"/>
          <w:szCs w:val="20"/>
          <w:color w:val="auto"/>
        </w:rPr>
      </w:pPr>
    </w:p>
    <w:p>
      <w:pPr>
        <w:jc w:val="both"/>
        <w:ind w:firstLine="656"/>
        <w:spacing w:after="0" w:line="239"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 shall be paid an annualized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payable in accordance with the regular payroll practices of the Company, of $430,000, with increases, if any, as may be approved in writing by the Compensation Committee. The Compensation Committee will review Base Salary for increases only and not less than annually.</w:t>
      </w:r>
    </w:p>
    <w:p>
      <w:pPr>
        <w:spacing w:after="0" w:line="180"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Executive shall be eligible for an annual incentive bonus award determined by the Compensation Committee in respect of each fiscal year during the Term of Employment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The target Annual Bonus for each fiscal year shall be 110% of Base Salary (the “</w:t>
      </w:r>
      <w:r>
        <w:rPr>
          <w:rFonts w:ascii="Times New Roman" w:cs="Times New Roman" w:eastAsia="Times New Roman" w:hAnsi="Times New Roman"/>
          <w:sz w:val="22"/>
          <w:szCs w:val="22"/>
          <w:u w:val="single" w:color="auto"/>
          <w:color w:val="auto"/>
        </w:rPr>
        <w:t>Target Annual Bonus</w:t>
      </w:r>
      <w:r>
        <w:rPr>
          <w:rFonts w:ascii="Times New Roman" w:cs="Times New Roman" w:eastAsia="Times New Roman" w:hAnsi="Times New Roman"/>
          <w:sz w:val="22"/>
          <w:szCs w:val="22"/>
          <w:color w:val="auto"/>
        </w:rPr>
        <w:t>”), with an opportunity to earn an Annual Bonus greater than the Target Annual Bonus based on the achievement of “stretch” performance objectives, as determined by the Compensation Committee in its reasonable discretion. The actual Annual Bonus payable for any fiscal year shall be based upon the level of achievement of annual Company Group and individual performance objectives for such fiscal year, as determined by the Compensation Committee (after reasonably consulting with the Chief Executive Officer) and communicated to Executive. The Annual Bonus shall otherwise be subject to the terms and conditions of the annual bonus plan adopted by the Board or the Compensation Committee under which bonuses are generally payable to senior executives of the Company, as in effect from time to time. The Annual Bonus shall be paid to Executive at the same time as annual bonuses are generally payable to other senior executives of the Company subject to Executive’s continuous employment through the applicable payment date (subject to Section 7 below).</w:t>
      </w:r>
    </w:p>
    <w:p>
      <w:pPr>
        <w:spacing w:after="0" w:line="18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Participation</w:t>
      </w:r>
      <w:r>
        <w:rPr>
          <w:rFonts w:ascii="Times New Roman" w:cs="Times New Roman" w:eastAsia="Times New Roman" w:hAnsi="Times New Roman"/>
          <w:sz w:val="22"/>
          <w:szCs w:val="22"/>
          <w:color w:val="auto"/>
        </w:rPr>
        <w:t>. In connection with Executive’s employment hereunder, Executive shall be entitled to participate in the Equity Incentive Plan, pursuant to the terms of the Equity Incentive Plan, an award agreement evidencing any award thereunder and such other documents Executive is required to execute pursuant to the terms of the Equity Incentive Plan (the Equity Incentive Plan, any award agreement(s), and such other documents,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 Executive’s equity participation shall be exclusively governed by the terms of the Equity Documents.</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During the Term of Employment, Executive shall be entitled to participate in health, insurance, retirement, and other benefits provided generally to senior executives of the Company (subject to any applicable eligibility requirements). Executive shall also be entitled to the same number of holidays, vacation days, and sick days,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8" w:name="page159"/>
    <w:bookmarkEnd w:id="158"/>
    <w:p>
      <w:pPr>
        <w:jc w:val="both"/>
        <w:spacing w:after="0" w:line="239" w:lineRule="auto"/>
        <w:rPr>
          <w:sz w:val="20"/>
          <w:szCs w:val="20"/>
          <w:color w:val="auto"/>
        </w:rPr>
      </w:pPr>
      <w:r>
        <w:rPr>
          <w:rFonts w:ascii="Times New Roman" w:cs="Times New Roman" w:eastAsia="Times New Roman" w:hAnsi="Times New Roman"/>
          <w:sz w:val="22"/>
          <w:szCs w:val="22"/>
          <w:color w:val="auto"/>
        </w:rPr>
        <w:t>well as any other benefits, in each case, as are generally allowed to senior executives of the Company in accordance with the Company policy as in effect from time to time. Nothing contained herein shall be construed to limit the Company’s ability to amend, suspend, or terminate any employee benefit plan or policy at any time without providing Executive notice, and the right to do so is expressly reserved.</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b w:val="1"/>
          <w:bCs w:val="1"/>
          <w:color w:val="auto"/>
        </w:rPr>
        <w:t>Reimbursement of Business Expenses</w:t>
      </w:r>
      <w:r>
        <w:rPr>
          <w:rFonts w:ascii="Times New Roman" w:cs="Times New Roman" w:eastAsia="Times New Roman" w:hAnsi="Times New Roman"/>
          <w:sz w:val="22"/>
          <w:szCs w:val="22"/>
          <w:color w:val="auto"/>
        </w:rPr>
        <w:t>. Executive is authorized to incur reasonable business expenses in carrying out Executive’s duties and responsibilities under this Agreement, and the Company shall promptly reimburse Executive for all such reasonable business expenses, subject to the documentation and other requirements set forth in the Company’s policy with respect to business expenses as in effect from time to time.</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b w:val="1"/>
          <w:bCs w:val="1"/>
          <w:color w:val="auto"/>
        </w:rPr>
        <w:t>Termination of Employment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6"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Term of Employment, and Executive’s employment hereunder, shall terminate upon the earliest to occur of (i) Executive’s death, (ii) a termination by reason of a Disability, (iii) a termination by the Company with or without Cause, and (iv) a termination by Executive with or without Good Reason. Except as otherwise expressly required by law (e.g., COBRA) or as specifically provided herein, all of Executive’s rights to Base Salary, Annual Bonus, executive benefits, and other compensatory amounts hereunder (if any) shall cease upon the termination of Executive’s employment hereunder.</w:t>
      </w:r>
    </w:p>
    <w:p>
      <w:pPr>
        <w:spacing w:after="0" w:line="181"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any termination of Executive’s employment for any reason, except as may otherwise be requested by the Company in writing and agreed upon by Executive in writing, Executive shall be deemed to have resigned from any and all directorships, committee memberships, and any other positions Executive holds with the Company or any other member of the Company Group. Executive agrees to execute any documents that the Company (or any other member of the Company Group) reasonably deems necessary to effectuate such resignations and the appointment of person(s) designated by the Company (or any other member of the Company Group) to serve as Executive’s replacement.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or Disability</w:t>
      </w:r>
      <w:r>
        <w:rPr>
          <w:rFonts w:ascii="Times New Roman" w:cs="Times New Roman" w:eastAsia="Times New Roman" w:hAnsi="Times New Roman"/>
          <w:sz w:val="21"/>
          <w:szCs w:val="21"/>
          <w:color w:val="auto"/>
        </w:rPr>
        <w:t>. Executive’s employment shall terminate automatically upon Executive’s death. The Company may terminate Executive’s employment immediately upon the occurrence of a Disability, such termination to be effective upon Executive’s receipt of written notice of such termination. Upon Executive’s death or in the event that Executive’s employment is terminated due to Executive’s Disability, Executive or Executive’s estate or Executive’s beneficiaries, as the case may be, shall be entitled to:</w:t>
      </w:r>
    </w:p>
    <w:p>
      <w:pPr>
        <w:spacing w:after="0" w:line="168"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w:t>
      </w:r>
      <w:r>
        <w:rPr>
          <w:rFonts w:ascii="Times New Roman" w:cs="Times New Roman" w:eastAsia="Times New Roman" w:hAnsi="Times New Roman"/>
          <w:sz w:val="16"/>
          <w:szCs w:val="16"/>
          <w:color w:val="auto"/>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2"/>
          <w:szCs w:val="22"/>
          <w:color w:val="auto"/>
        </w:rPr>
        <w:t>) months following the last day of the fiscal year in which such termination occurred;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 the Target Annual Bonus multiplied by (B) a fraction, the numerator of which is the number of days elapsed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9" w:name="page160"/>
    <w:bookmarkEnd w:id="159"/>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commencement of the fiscal year in which such termination occurs through the date of such termination and the denominator of which is three hundred sixty-five (365) (or three hundred sixty-six (366), as applicable), which amount shall be paid within thirty (30) days following Executive’s termination date; and</w:t>
      </w:r>
    </w:p>
    <w:p>
      <w:pPr>
        <w:spacing w:after="0" w:line="180" w:lineRule="exact"/>
        <w:rPr>
          <w:sz w:val="20"/>
          <w:szCs w:val="20"/>
          <w:color w:val="auto"/>
        </w:rPr>
      </w:pPr>
    </w:p>
    <w:p>
      <w:pPr>
        <w:jc w:val="both"/>
        <w:ind w:left="660" w:firstLine="644"/>
        <w:spacing w:after="0" w:line="236" w:lineRule="auto"/>
        <w:tabs>
          <w:tab w:leader="none" w:pos="195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 election of COBRA continuation coverage under the Company’s group health plan by Executive (or Executive’s covered dependents in the case of Executive’s death), on the first regularly scheduled payroll date of each month during the twelve (12)-month period immediately following Executive’s termination occurred, payment of an amount equal to the difference between the monthly COBRA premium cost and the monthly contribution paid by active employees for the same coverage.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Following Executive’s death or a termination of Executive’s employment by reason of a Disability, except as set forth in this Section 7(c), Executive shall have no further rights to any compensation or any other benefits under this Agreement.</w:t>
      </w:r>
    </w:p>
    <w:p>
      <w:pPr>
        <w:spacing w:after="0" w:line="173"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5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terminate Executive’s employment at any time for Cause, effective upon delivery to Executive of written notice of such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 respect to any Cause termination relying on clause (ii), (vi), or (vii) of the definition of Cause, to the extent that such act or acts or failure or failures to act are curable, Executive shall be given not less than fifteen (15) business days’ written notice by the Board of the Company’s intention to terminate Executive for Cause, such notice to state in detail the particular act or acts or failure or failures to act that constitute the grounds on which the proposed termination for Cause is based, and such termination shall be effective at the expiration of such fifteen (15) business day notice period unless Executive has fully cured such act or acts or failure or failures to act that give rise to Cause during such period.</w:t>
      </w:r>
    </w:p>
    <w:p>
      <w:pPr>
        <w:spacing w:after="0" w:line="183" w:lineRule="exact"/>
        <w:rPr>
          <w:rFonts w:ascii="Times New Roman" w:cs="Times New Roman" w:eastAsia="Times New Roman" w:hAnsi="Times New Roman"/>
          <w:sz w:val="22"/>
          <w:szCs w:val="22"/>
          <w:color w:val="auto"/>
        </w:rPr>
      </w:pPr>
    </w:p>
    <w:p>
      <w:pPr>
        <w:jc w:val="both"/>
        <w:ind w:left="660" w:right="20" w:firstLine="644"/>
        <w:spacing w:after="0" w:line="239" w:lineRule="auto"/>
        <w:tabs>
          <w:tab w:leader="none" w:pos="195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terminates Executive’s employment for Cause, Executive shall be entitled only to the Accrued Obligations. Following such termination of Executive’s employment for Cause, except as set forth in this Section 7(d)(ii), Executive shall have no further rights to any compensation or any other benefits under this Agreement.</w:t>
      </w:r>
    </w:p>
    <w:p>
      <w:pPr>
        <w:spacing w:after="0" w:line="180"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at any time without Cause, effective upon delivery to Executive of written notice of such termination. In the event that Executive’s employment is terminated by the Company without Cause (other than due to death or Disability), Executive shall be entitled to:</w:t>
      </w:r>
    </w:p>
    <w:p>
      <w:pPr>
        <w:spacing w:after="0" w:line="18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w:t>
      </w:r>
      <w:r>
        <w:rPr>
          <w:rFonts w:ascii="Times New Roman" w:cs="Times New Roman" w:eastAsia="Times New Roman" w:hAnsi="Times New Roman"/>
          <w:sz w:val="16"/>
          <w:szCs w:val="16"/>
          <w:color w:val="auto"/>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2"/>
          <w:szCs w:val="22"/>
          <w:color w:val="auto"/>
        </w:rPr>
        <w:t>) months following the last day of the fiscal year in which such termination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0" w:name="page161"/>
    <w:bookmarkEnd w:id="160"/>
    <w:p>
      <w:pPr>
        <w:jc w:val="both"/>
        <w:ind w:left="660" w:firstLine="644"/>
        <w:spacing w:after="0" w:line="235" w:lineRule="auto"/>
        <w:tabs>
          <w:tab w:leader="none" w:pos="195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satisfaction of the performance objectives applicable for the fiscal year in which such termination occurs, an amount equal to (A) the Annual Bonus otherwise payable to Executive for the fiscal year in which such termination occurred, assuming Executive had remained employed through the applicable payment date (and assuming any applicable subjective performance conditions have been satisfied at target), multiplied by (B) a fraction, the numerator of which is the number of days elapsed from the commencement of such fiscal year through the date of such termination and the denominator of which is three hundred sixty-five (365) (or three hundred sixty-six (366), as applicable), which amount shall be paid at such time annual bonuses are paid to other senior executives of the Company, but in no event later than the date that is two and one-half (2</w:t>
      </w:r>
      <w:r>
        <w:rPr>
          <w:rFonts w:ascii="Times New Roman" w:cs="Times New Roman" w:eastAsia="Times New Roman" w:hAnsi="Times New Roman"/>
          <w:sz w:val="16"/>
          <w:szCs w:val="16"/>
          <w:color w:val="auto"/>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31"/>
          <w:szCs w:val="31"/>
          <w:color w:val="auto"/>
          <w:vertAlign w:val="subscript"/>
        </w:rPr>
        <w:t>2</w:t>
      </w:r>
      <w:r>
        <w:rPr>
          <w:rFonts w:ascii="Times New Roman" w:cs="Times New Roman" w:eastAsia="Times New Roman" w:hAnsi="Times New Roman"/>
          <w:sz w:val="21"/>
          <w:szCs w:val="21"/>
          <w:color w:val="auto"/>
        </w:rPr>
        <w:t>) months following the last day of the fiscal year in which such</w:t>
      </w:r>
    </w:p>
    <w:p>
      <w:pPr>
        <w:spacing w:after="0" w:line="8"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termination occurred;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if such termination is a CIC Qualified Termination, (x) any applicable performance objectives shall be deemed satisfied at target, and (y) the amount referenced in clause (A) above shall instead be the Target Annual Bonus.</w:t>
      </w:r>
    </w:p>
    <w:p>
      <w:pPr>
        <w:spacing w:after="0" w:line="177" w:lineRule="exact"/>
        <w:rPr>
          <w:sz w:val="20"/>
          <w:szCs w:val="20"/>
          <w:color w:val="auto"/>
        </w:rPr>
      </w:pPr>
    </w:p>
    <w:p>
      <w:pPr>
        <w:jc w:val="both"/>
        <w:ind w:left="660" w:firstLine="644"/>
        <w:spacing w:after="0" w:line="238"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Severance Multiplier times the sum of Base Salary and the Target Annual Bonus, such amount to be paid in substantially equal payments over the Severance Term, and payable in accordance with the Company’s regular payroll practices;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such termination is a CIC Qualified Termination, such amount shall instead be payable in a single lump sum within five (5) days of such termination;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19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Executive’s election of COBRA continuation coverage under the Company’s group health plan, on the first regularly scheduled payroll date of each month during the Severance Term, payment of an amount equal to the difference between the monthly COBRA premium cost and the monthly contribution paid by active employees for the same coverage; provided, that the payments described in this clause (v) shall cease earlier than the expiration of the Severance Term in the event that Executive becomes eligible to receive any health benefits as a result of subsequent employment or service during the Severance Term.</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the payments and benefits described in clauses (ii) through (v) above shall immediately terminate, and the Company shall have no further obligations to Executive with respect thereto, in the event that Executive materially breaches any provision set forth in Section 9 hereof. Following such termination of Executive’s employment by the Company without Cause, except as set forth in this Section 7(e), Executive shall have no further rights to any compensation or any other benefits under this Agreement.</w:t>
      </w:r>
    </w:p>
    <w:p>
      <w:pPr>
        <w:spacing w:after="0" w:line="177" w:lineRule="exact"/>
        <w:rPr>
          <w:sz w:val="20"/>
          <w:szCs w:val="20"/>
          <w:color w:val="auto"/>
        </w:rPr>
      </w:pPr>
    </w:p>
    <w:p>
      <w:pPr>
        <w:jc w:val="both"/>
        <w:ind w:firstLine="656"/>
        <w:spacing w:after="0" w:line="235" w:lineRule="auto"/>
        <w:tabs>
          <w:tab w:leader="none" w:pos="129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 Good Reason</w:t>
      </w:r>
      <w:r>
        <w:rPr>
          <w:rFonts w:ascii="Times New Roman" w:cs="Times New Roman" w:eastAsia="Times New Roman" w:hAnsi="Times New Roman"/>
          <w:sz w:val="22"/>
          <w:szCs w:val="22"/>
          <w:color w:val="auto"/>
        </w:rPr>
        <w:t>. Executive may terminate Executive’s employment with Good Reason by providing the Company thirty (30) days’ written notice setting forth in reasonable specificity the event that constitutes Good Reason, which written notice, to be effective, must be provided to the Company within sixty (60) days of the occurrence of such event. During such thirty (30)-day notice period, the Company shall have a cure right (if curable), and if not cured within such period, Executive’s termination will be effective upon the expiration of such cure period, and Executive shall be entitled to the same payments and benefits as provided in Section 7(e) hereof for a termination by the Company without Cause, subject to the same conditions on payment and benefits as described in Section 7(e) hereof. Following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1" w:name="page162"/>
    <w:bookmarkEnd w:id="161"/>
    <w:p>
      <w:pPr>
        <w:ind w:right="20"/>
        <w:spacing w:after="0" w:line="258" w:lineRule="auto"/>
        <w:rPr>
          <w:sz w:val="20"/>
          <w:szCs w:val="20"/>
          <w:color w:val="auto"/>
        </w:rPr>
      </w:pPr>
      <w:r>
        <w:rPr>
          <w:rFonts w:ascii="Times New Roman" w:cs="Times New Roman" w:eastAsia="Times New Roman" w:hAnsi="Times New Roman"/>
          <w:sz w:val="22"/>
          <w:szCs w:val="22"/>
          <w:color w:val="auto"/>
        </w:rPr>
        <w:t>termination of Executive’s employment by Executive with Good Reason, except as set forth in this Section 7(f), Executive shall have no further rights to any compensation or any other benefits under this Agreement.</w:t>
      </w:r>
    </w:p>
    <w:p>
      <w:pPr>
        <w:spacing w:after="0" w:line="158" w:lineRule="exact"/>
        <w:rPr>
          <w:sz w:val="20"/>
          <w:szCs w:val="20"/>
          <w:color w:val="auto"/>
        </w:rPr>
      </w:pPr>
    </w:p>
    <w:p>
      <w:pPr>
        <w:jc w:val="both"/>
        <w:ind w:firstLine="656"/>
        <w:spacing w:after="0" w:line="234" w:lineRule="auto"/>
        <w:tabs>
          <w:tab w:leader="none" w:pos="12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w:t>
      </w:r>
      <w:r>
        <w:rPr>
          <w:rFonts w:ascii="Times New Roman" w:cs="Times New Roman" w:eastAsia="Times New Roman" w:hAnsi="Times New Roman"/>
          <w:sz w:val="22"/>
          <w:szCs w:val="22"/>
          <w:color w:val="auto"/>
        </w:rPr>
        <w:t>. Executive may terminate Executive’s employment without Good Reason by providing the Company thirty (30) days’ written notice of such termination. In the event of a termination of employment by Executive under this Section 7(g), Executive shall be entitled only to the Accrued Obligations. In the event of termination of Executive’s employment under this Section 7(g),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7(g), Executive shall have no further rights to any compensation or any other benefits under this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 provision herein to the contrary, the payment of any amount or provision of any benefit pursuant to Section 7(e) or Section 7(f) hereof other than the Accrued Obligations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(the “</w:t>
      </w:r>
      <w:r>
        <w:rPr>
          <w:rFonts w:ascii="Times New Roman" w:cs="Times New Roman" w:eastAsia="Times New Roman" w:hAnsi="Times New Roman"/>
          <w:sz w:val="22"/>
          <w:szCs w:val="22"/>
          <w:u w:val="single" w:color="auto"/>
          <w:color w:val="auto"/>
        </w:rPr>
        <w:t>Release Execution Period</w:t>
      </w:r>
      <w:r>
        <w:rPr>
          <w:rFonts w:ascii="Times New Roman" w:cs="Times New Roman" w:eastAsia="Times New Roman" w:hAnsi="Times New Roman"/>
          <w:sz w:val="22"/>
          <w:szCs w:val="22"/>
          <w:color w:val="auto"/>
        </w:rPr>
        <w:t xml:space="preserve">”). If Executive fails to execute the Release of Claims in such a timely manner so as to permit any revocation period to expire prior to the end of such sixty (60) day period, or timely revokes Executive’s acceptance of such release following its execution, Executive shall not be entitled to any of the Severance Benefits. No portion of the Severance Benefits (other than Accrued Obligations) shall be paid until the Release of Claims has become effective and all such amounts shall commence to be paid on the first regular payroll date of the Company after the Release of Claims has become effective;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Release Execution Period overlaps two (2) calendar years, the first payment shall not be made sooner than the first day of the second year, and shall include any missed payments.</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b w:val="1"/>
          <w:bCs w:val="1"/>
          <w:color w:val="auto"/>
        </w:rPr>
        <w:t>Certain Payments</w:t>
      </w:r>
      <w:r>
        <w:rPr>
          <w:rFonts w:ascii="Times New Roman" w:cs="Times New Roman" w:eastAsia="Times New Roman" w:hAnsi="Times New Roman"/>
          <w:sz w:val="21"/>
          <w:szCs w:val="21"/>
          <w:color w:val="auto"/>
        </w:rPr>
        <w:t>. In the event that (a) Executive is entitled to receive any payment, benefit, or distribution of any type to or for the benefit of Executive, whether paid or payable, provided or to be provided, or distributed or distributable, pursuant to the terms of this Agreement or otherwise (collectively, the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and (b) the net after-tax amount of such Payments, after Executive has paid all taxes due thereon (including, without limitation, taxes due under Section 4999 of the Code) is less than the net after-tax amount of all such Payments otherwise due to Executive in the aggregate, if such Payments were reduced to an amount equal to 2.99 times Executive’s “base amount” (as defined in Section 280G(b)(3) of the Code), then the aggregate amount of such Payments payable to Executive shall be reduced to an amount that will equal 2.99 times Executive’s base amount. To the extent such aggregate “parachute payment” (as defined in Section 280G(b)(2) of the Code) amounts are required to be so reduced, the parachute payment amounts due to Executive (but no non-parachute payment amounts) shall be reduced in the following order: (i) the parachute payments that are payable in cash shall be reduced (if necessary, to zero) with amounts that are payable last reduced first; (ii) payments and benefits due in respect of any equity, valued at full value (rather than accelerated value), with the highest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2" w:name="page163"/>
    <w:bookmarkEnd w:id="162"/>
    <w:p>
      <w:pPr>
        <w:spacing w:after="0" w:line="258" w:lineRule="auto"/>
        <w:rPr>
          <w:sz w:val="20"/>
          <w:szCs w:val="20"/>
          <w:color w:val="auto"/>
        </w:rPr>
      </w:pPr>
      <w:r>
        <w:rPr>
          <w:rFonts w:ascii="Times New Roman" w:cs="Times New Roman" w:eastAsia="Times New Roman" w:hAnsi="Times New Roman"/>
          <w:sz w:val="22"/>
          <w:szCs w:val="22"/>
          <w:color w:val="auto"/>
        </w:rPr>
        <w:t>reduced first (as such values are determined under Treas. Reg. Section 1.280G-1, Q&amp;A 24); and (iii) all other non-cash benefits not otherwise described in clause (ii) of this Section 8 reduced last.</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3"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Executive acknowledges and recognizes the highly competitive nature of the business of the Company Group, that access to Confidential Information renders Executive special and unique within the industry of the Company Group, and that Executive will have the opportunity to develop substantial relationships with existing and prospective clients, accounts, customers, consultants, contractors, investors, and strategic partners of the Company Group during the course of and as a result of Executive’s employment with the Company. In light of the foregoing, as a condition of Executive’s employment by the Company, and in consideration of Executive’s employment hereunder and the compensation and benefits provided herein, Executive acknowledges and agrees to the covenants contained in this Section 9. Executive further recognizes and acknowledges that the restrictions and limitations set forth in this Section 9 are reasonable and valid in geographical and temporal scope and in all other respects and are essential to protect the value of the business and assets of the Company Group.</w:t>
      </w:r>
    </w:p>
    <w:p>
      <w:pPr>
        <w:spacing w:after="0" w:line="18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during the Term of Employment, Executive will have access to information about the Company Group and that Executive’s employment with the Company shall bring Executive into close contact with confidential and proprietary information of the Company Group. In recognition of the foregoing, Executive agrees, at all times during the Term of Employment and thereafter, to hold in confidence, and not to use, except for the benefit of the Company Group, or to disclose to any Person without written authorization of the Company, any Confidential Information.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32" w:lineRule="auto"/>
        <w:tabs>
          <w:tab w:leader="none" w:pos="195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prohibit or impede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Executive be authorized to disclose any information covered by attorney-client privilege or attorney work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3" w:name="page164"/>
    <w:bookmarkEnd w:id="163"/>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of any member of the Company Group without prior written consent of Company’s Chief Legal &amp; Administrative Officer or other officer designated by the Company, unless otherwise permitted by the applicable whistleblower provisions of any law or regulation. Executive does not need the prior authorization of (or to give notice to) any member of the Company Group regarding any communication, disclosure, or activity permitted by this subsection.</w:t>
      </w:r>
    </w:p>
    <w:p>
      <w:pPr>
        <w:spacing w:after="0" w:line="177" w:lineRule="exact"/>
        <w:rPr>
          <w:sz w:val="20"/>
          <w:szCs w:val="20"/>
          <w:color w:val="auto"/>
        </w:rPr>
      </w:pPr>
    </w:p>
    <w:p>
      <w:pPr>
        <w:ind w:left="840" w:hanging="644"/>
        <w:spacing w:after="0"/>
        <w:tabs>
          <w:tab w:leader="none" w:pos="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43" w:lineRule="auto"/>
        <w:tabs>
          <w:tab w:leader="none" w:pos="149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Executive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Executive may (or have previously) solely or jointly conceive or develop or reduce to practice, or cause to be conceived or developed or reduced to practice, during the Term of Employment, whether or not during regular working hours, provided they either (i) relate at the time of conception or reduction to practice of the invention to the business of any member of the Company Group, or actual or demonstrably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Executive further acknowledges that all Developments made by Executive (solely or jointly with others) within the scope of and during the Term of Employment are “works made for hire” (to the greatest extent permitted by applicable law) for which Executive is, in part, compensated by Executive’s Base Salary, unless regulated otherwise by law, but that, in the event any such Development is deemed not to be a work made for hire, Executive hereby assigns to the Company, or its designee, all of Executive’s right, title, and interest throughout the world in and to any such Development.</w:t>
      </w:r>
    </w:p>
    <w:p>
      <w:pPr>
        <w:spacing w:after="0" w:line="188" w:lineRule="exact"/>
        <w:rPr>
          <w:rFonts w:ascii="Times New Roman" w:cs="Times New Roman" w:eastAsia="Times New Roman" w:hAnsi="Times New Roman"/>
          <w:sz w:val="21"/>
          <w:szCs w:val="21"/>
          <w:color w:val="auto"/>
        </w:rPr>
      </w:pPr>
    </w:p>
    <w:p>
      <w:pPr>
        <w:jc w:val="both"/>
        <w:ind w:left="200" w:firstLine="644"/>
        <w:spacing w:after="0" w:line="233" w:lineRule="auto"/>
        <w:tabs>
          <w:tab w:leader="none" w:pos="149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agrees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Executive further agrees that Executive’s obligation to execute or cause to be executed, when it is in Executive’s power to do so, any such instrument or papers shall continue after the termination of the Term of Employment until the expiration of the last such intellectual property right to expire in any country of the world;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reimburse Executive for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64" w:name="page165"/>
    <w:bookmarkEnd w:id="164"/>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reasonable expenses incurred in connection with carrying out the foregoing obligation and, following termination of the Term of Employment, shall compensate Executive for Executive’s time incurred in connection with carrying out Executive’s obligations under this Section 9(c)(ii) following such termination at an hourly rate based upon Executive’s Base Salary as of immediately prior to termination of Executive’s employment. If the Company is unable because of Executive’s mental or physical incapacity or unavailability for any other reason to secure Executive’s signature to apply for or to pursue any application for any United States or foreign patents or copyright registrations covering Developments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Executive. Executive hereby waives and irrevocably quitclaims to the Company any and all claims, of any nature whatsoever, that Executive now or hereafter has for past, present, or future infringement of any and all proprietary rights assigned to the Company.</w:t>
      </w:r>
    </w:p>
    <w:p>
      <w:pPr>
        <w:spacing w:after="0" w:line="177" w:lineRule="exact"/>
        <w:rPr>
          <w:sz w:val="20"/>
          <w:szCs w:val="20"/>
          <w:color w:val="auto"/>
        </w:rPr>
      </w:pPr>
    </w:p>
    <w:p>
      <w:pPr>
        <w:jc w:val="both"/>
        <w:ind w:firstLine="656"/>
        <w:spacing w:after="0" w:line="233"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Term of Employment and the Post-Termination Restricted Period, Executive shall not, other than for or on behalf of, and in furtherance of Executive’s duties as an employee, director, or authorized agent of, the Company Group thereof during the Term of Employment, directly or indirectly engage in, have any equity interest in, or manage, provide services to or operate any person, firm, corporation, partnership, or business (whether as director, officer, employee, agent, representative, partner, member, security holder, consultant, or otherwise) that engages in any business, directly or indirectly (through a subsidiary or otherwise), which competes with the Business within the United States of America or any other jurisdiction in which any member of the Company Group engages in business derives a material portion of its revenues or has demonstrable plans (as of the date of termination) to commence material business activities in. Nothing contained in this Agreement shall prohibit Executive from owning less than three percent (3%) of any class of securities listed on a national securities exchange or traded publicly in the over-the-counter market.</w:t>
      </w:r>
    </w:p>
    <w:p>
      <w:pPr>
        <w:spacing w:after="0" w:line="18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Non-Interference</w:t>
      </w:r>
      <w:r>
        <w:rPr>
          <w:rFonts w:ascii="Times New Roman" w:cs="Times New Roman" w:eastAsia="Times New Roman" w:hAnsi="Times New Roman"/>
          <w:sz w:val="22"/>
          <w:szCs w:val="22"/>
          <w:color w:val="auto"/>
        </w:rPr>
        <w:t>. During the Term of Employment and the Post-Termination Restricted Period, Executive shall not, directly or indirectly for Executive’s own account or for the account of any other Person, engage in Interfering Activities.</w:t>
      </w:r>
    </w:p>
    <w:p>
      <w:pPr>
        <w:spacing w:after="0" w:line="173"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 Section 9(b)(ii) hereof, Executive agrees that Executive will never disparage the Company, its affiliates, their business, their management or their products or services, and that Executive will not otherwise do or say anything that could reasonably be anticipated to materially harm the business interests or reputation of the Company or any of its affiliates, provided, that nothing herein shall or shall be construed or interpreted to prevent or impair Executive from the following actions taken during Executive’s employment with the Company in the ordinary course of business and in connection with the good faith performance of Executive’s duties: (x) making public comments, such as in media interviews, which include good faith, candid discussions or acknowledgments regarding the Company’s performance or business, or (y) discussing other officers, directors, and employees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5" w:name="page166"/>
    <w:bookmarkEnd w:id="165"/>
    <w:p>
      <w:pPr>
        <w:jc w:val="both"/>
        <w:spacing w:after="0" w:line="239" w:lineRule="auto"/>
        <w:rPr>
          <w:sz w:val="20"/>
          <w:szCs w:val="20"/>
          <w:color w:val="auto"/>
        </w:rPr>
      </w:pPr>
      <w:r>
        <w:rPr>
          <w:rFonts w:ascii="Times New Roman" w:cs="Times New Roman" w:eastAsia="Times New Roman" w:hAnsi="Times New Roman"/>
          <w:sz w:val="22"/>
          <w:szCs w:val="22"/>
          <w:color w:val="auto"/>
        </w:rPr>
        <w:t>with performance evaluations, including impromptu evaluations and feedback and good faith criticism. Notwithstanding the foregoing, nothing herein shall prevent Executive from testifying truthfully in any legal or administrative proceeding where such testimony is compelled or requested, or from otherwise complying with applicable legal requirements.</w:t>
      </w:r>
    </w:p>
    <w:p>
      <w:pPr>
        <w:spacing w:after="0" w:line="180" w:lineRule="exact"/>
        <w:rPr>
          <w:sz w:val="20"/>
          <w:szCs w:val="20"/>
          <w:color w:val="auto"/>
        </w:rPr>
      </w:pPr>
    </w:p>
    <w:p>
      <w:pPr>
        <w:jc w:val="both"/>
        <w:ind w:firstLine="656"/>
        <w:spacing w:after="0" w:line="236" w:lineRule="auto"/>
        <w:tabs>
          <w:tab w:leader="none" w:pos="12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In the event of Executive’s termination of employment hereunder for any reason, Executive shall deliver to the Company (and will not keep in Executive’s possession, recreate, or deliver to anyone else) any and all Confidential Information and all other documents, materials, information, and property developed by Executive pursuant to Executive’s employment hereunder or otherwise belonging to the Company Group (other than any documents, materials, information, and property to the extent related to Executive’s personal compensation and personal contacts).</w:t>
      </w:r>
    </w:p>
    <w:p>
      <w:pPr>
        <w:spacing w:after="0" w:line="181"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Independence; Severability; Blue Pencil</w:t>
      </w:r>
      <w:r>
        <w:rPr>
          <w:rFonts w:ascii="Times New Roman" w:cs="Times New Roman" w:eastAsia="Times New Roman" w:hAnsi="Times New Roman"/>
          <w:sz w:val="21"/>
          <w:szCs w:val="21"/>
          <w:color w:val="auto"/>
        </w:rPr>
        <w:t>. Each of the rights enumerated in this Section 9 shall be independent of the others and shall be in addition to and not in lieu of any other rights and remedies available to the Company Group at law or in equity. If any of the provisions of this Section 9 or any part of any of them is hereafter construed or adjudicated to be invalid or unenforceable, the same shall not affect the remainder of this Section 9, which shall be given full effect without regard to the invalid portions. If any of the covenants contained herein are held to be invalid or unenforceable because of the duration of such provisions or the area or scope covered thereby, each of the Company and Executive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75" w:lineRule="exact"/>
        <w:rPr>
          <w:rFonts w:ascii="Times New Roman" w:cs="Times New Roman" w:eastAsia="Times New Roman" w:hAnsi="Times New Roman"/>
          <w:sz w:val="21"/>
          <w:szCs w:val="21"/>
          <w:color w:val="auto"/>
        </w:rPr>
      </w:pPr>
    </w:p>
    <w:p>
      <w:pPr>
        <w:jc w:val="both"/>
        <w:ind w:firstLine="656"/>
        <w:spacing w:after="0" w:line="234" w:lineRule="auto"/>
        <w:tabs>
          <w:tab w:leader="none" w:pos="12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Executive expressly acknowledges that any breach or threatened breach of any of the terms and/or conditions set forth in this Section 9 may result in substantial, continuing, and irreparable injury to the members of the Company Group. Therefore, Executive hereby agrees that, in addition to any other remedy that may be available to the Company, any member of the Company Group shall be entitled to seek injunctive relief, specific performance, or other equitable relief by a court of appropriate jurisdiction in the event of any breach or threatened breach of the terms of this Section 9. Notwithstanding any other provision to the contrary, Executive acknowledges and agrees that the Post-Termination Restricted Period shall be tolled during any period of violation of any of the covenants in this Section 9 and during any other period required for litigation during which the Company or any other member of the Company Group seeks to enforce such covenants against Executive if it is ultimately determined that Executive was in breach of such covenants.</w:t>
      </w:r>
    </w:p>
    <w:p>
      <w:pPr>
        <w:spacing w:after="0" w:line="179"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Covenants</w:t>
      </w:r>
      <w:r>
        <w:rPr>
          <w:rFonts w:ascii="Times New Roman" w:cs="Times New Roman" w:eastAsia="Times New Roman" w:hAnsi="Times New Roman"/>
          <w:sz w:val="22"/>
          <w:szCs w:val="22"/>
          <w:color w:val="auto"/>
        </w:rPr>
        <w:t>. As long as it remains in effect, Executive will disclose the existence of the covenants contained in this Section 9 to any prospective employer, partner, co-venturer, investor, or lender prior to entering into an employment, partnership, or other business relationship with such Person or entity.</w:t>
      </w:r>
    </w:p>
    <w:p>
      <w:pPr>
        <w:spacing w:after="0" w:line="173"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Notwithstanding anything contained in this Agreement to the contrary, in the event that Executive is subject to similar restrictive covenants pursuant to any other agreement with any member of the Company Group, including, without limitation, under the Equity Documents (“</w:t>
      </w: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the covenants contained in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6" w:name="page167"/>
    <w:bookmarkEnd w:id="166"/>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to, and not in lieu of, any such Other Covenants, and enforcement by the Company of the covenants contained in this Agreement shall not preclude the applicable member of the Company Group from enforcing such Other Covenants in accordance with their terms.</w:t>
      </w:r>
    </w:p>
    <w:p>
      <w:pPr>
        <w:spacing w:after="0" w:line="1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2"/>
          <w:szCs w:val="22"/>
          <w:b w:val="1"/>
          <w:bCs w:val="1"/>
          <w:color w:val="auto"/>
        </w:rPr>
        <w:t>Representations and Warranties of Executive</w:t>
      </w:r>
      <w:r>
        <w:rPr>
          <w:rFonts w:ascii="Times New Roman" w:cs="Times New Roman" w:eastAsia="Times New Roman" w:hAnsi="Times New Roman"/>
          <w:sz w:val="22"/>
          <w:szCs w:val="22"/>
          <w:color w:val="auto"/>
        </w:rPr>
        <w:t>. Executive represents and warrants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that:</w:t>
      </w:r>
    </w:p>
    <w:p>
      <w:pPr>
        <w:spacing w:after="0" w:line="182" w:lineRule="exact"/>
        <w:rPr>
          <w:sz w:val="20"/>
          <w:szCs w:val="20"/>
          <w:color w:val="auto"/>
        </w:rPr>
      </w:pPr>
    </w:p>
    <w:p>
      <w:pPr>
        <w:jc w:val="both"/>
        <w:ind w:firstLine="656"/>
        <w:spacing w:after="0" w:line="244"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entering into this Agreement voluntarily and that Executive’s employment hereunder and compliance with the terms and conditions hereof will not conflict with or result in the breach by Executive of any agreement to which Executive is a party or by which Executive may be bound;</w:t>
      </w:r>
    </w:p>
    <w:p>
      <w:pPr>
        <w:spacing w:after="0" w:line="17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violated, and in connection with Executive’s employment with the Company will not violate, any non-solicitation, non-competition, or other similar covenant or agreement with any Person by which Executive is or becomes bound;</w:t>
      </w:r>
    </w:p>
    <w:p>
      <w:pPr>
        <w:spacing w:after="0" w:line="17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Executive’s employment with the Company, Executive will not use any confidential or proprietary information Executive may have obtained in connection with employment or service with any prior service recipient; and</w:t>
      </w:r>
    </w:p>
    <w:p>
      <w:pPr>
        <w:spacing w:after="0" w:line="173"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been terminated from any prior employer or service recipient, or otherwise disciplined in connection with any such relationship, in connection with, or as a result of, any claim of workplace sexual harassment or sex or gender discrimination, and to Executive’s knowledge, Executive has not been the subject of any investigation, formal allegation, civil or criminal complaint, charge, or settlement regarding workplace sexual harassment or sex or gender discrimination.</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 The Company agrees during and after Executive’s employment to indemnify and hold harmless Executive to the fullest extent permitted by the organizational documents of the Company, or if greater, in accordance with applicable law regarding indemnification, for actions or inactions of Executive in accordance with Executive’s performance of his duties under this Agreement, as an officer, director, employee or agent of the Company or any affiliate thereof or as a fiduciary of any benefit plan of any of the foregoing. The Company also agrees to provide Executive with directors’ and officers’ liability insurance coverage both during and after Executive’s employment with regard to matters occurring during employment, or while serving on the governing body of the Company, or any affiliate thereof, which coverage will be at a level at least equal to the greatest level being maintained at such time for any current officer or director and shall continue until such time as suits can no longer be brought against Executive as a matter of law. Executive will be entitled to advancement of expenses from the Company or its applicable subsidiaries in connection with any claim in the same manner and to the same extent to which any other officer or director of the Company is entitled.</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The Company may withhold from any payments made under this Agreement or otherwise made in connection with Executive’s employment hereunder, all applicable taxes, including but not limited to income, employment, and social insurance taxes, as shall be required by law. If any such taxes are paid or advanced by the Company on behalf of Executive, Executive shall remain responsible for, and shall repay, such amounts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7" w:name="page168"/>
    <w:bookmarkEnd w:id="167"/>
    <w:p>
      <w:pPr>
        <w:jc w:val="both"/>
        <w:spacing w:after="0" w:line="238" w:lineRule="auto"/>
        <w:rPr>
          <w:sz w:val="20"/>
          <w:szCs w:val="20"/>
          <w:color w:val="auto"/>
        </w:rPr>
      </w:pPr>
      <w:r>
        <w:rPr>
          <w:rFonts w:ascii="Times New Roman" w:cs="Times New Roman" w:eastAsia="Times New Roman" w:hAnsi="Times New Roman"/>
          <w:sz w:val="22"/>
          <w:szCs w:val="22"/>
          <w:color w:val="auto"/>
        </w:rPr>
        <w:t>promptly following notice thereof by the Company. Executive acknowledges and represents that the Company has not provided any tax advice to Executive in connection with this Agreement and that Executive has been advised by the Company to seek tax advice from Executive’s own tax advisors regarding this Agreement and payments that may be made to Executive pursuant to this Agreement, including specifically, the application of the provisions of Section 409A of the Code to such payments.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b w:val="1"/>
          <w:bCs w:val="1"/>
          <w:color w:val="auto"/>
        </w:rPr>
        <w:t>Set Off; Mitigation</w:t>
      </w:r>
      <w:r>
        <w:rPr>
          <w:rFonts w:ascii="Times New Roman" w:cs="Times New Roman" w:eastAsia="Times New Roman" w:hAnsi="Times New Roman"/>
          <w:sz w:val="21"/>
          <w:szCs w:val="21"/>
          <w:color w:val="auto"/>
        </w:rPr>
        <w:t>. The Company’s obligation to pay Executive the amounts provided and to make the arrangements provided hereunder shall not be subject to set-off, counterclaim, or recoupment of amounts owed by Executive to the Company or its affiliates. Executive shall not be required to mitigate the amount of any payment provided pursuant to this Agreement by seeking other employment or otherwise, and except as provided in Section 7(e)(v) hereof, the amount of any payment provided for pursuant to this Agreement shall not be reduced by any compensation earned as a result of Executive’s other employment or otherwise.</w:t>
      </w:r>
    </w:p>
    <w:p>
      <w:pPr>
        <w:spacing w:after="0" w:line="16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b w:val="1"/>
          <w:bCs w:val="1"/>
          <w:color w:val="auto"/>
        </w:rPr>
        <w:t>Additional Section 409A Provisions</w:t>
      </w:r>
      <w:r>
        <w:rPr>
          <w:rFonts w:ascii="Times New Roman" w:cs="Times New Roman" w:eastAsia="Times New Roman" w:hAnsi="Times New Roman"/>
          <w:sz w:val="22"/>
          <w:szCs w:val="22"/>
          <w:color w:val="auto"/>
        </w:rPr>
        <w:t>. Notwithstanding any provision in this Agreement to the contrary:</w:t>
      </w:r>
    </w:p>
    <w:p>
      <w:pPr>
        <w:spacing w:after="0" w:line="154" w:lineRule="exact"/>
        <w:rPr>
          <w:sz w:val="20"/>
          <w:szCs w:val="20"/>
          <w:color w:val="auto"/>
        </w:rPr>
      </w:pPr>
    </w:p>
    <w:p>
      <w:pPr>
        <w:jc w:val="both"/>
        <w:ind w:firstLine="656"/>
        <w:spacing w:after="0" w:line="236"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1"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 a series of payments hereunder shall be deemed to be a separate payment for purposes of Section 409A of the Code.</w:t>
      </w:r>
    </w:p>
    <w:p>
      <w:pPr>
        <w:spacing w:after="0" w:line="158"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Section 1.409A-1(h), at which time such nonqualified deferred compensation (calculated as of the date of Executive’s termination of employment hereunder) shall be paid (or commence to be paid) to Executive on the schedule set forth in Section 7 as if Executive had undergone such termination of employment (under the same circumstances) on the date of Executive’s ultimate “separation from service.”</w:t>
      </w:r>
    </w:p>
    <w:p>
      <w:pPr>
        <w:spacing w:after="0" w:line="178"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8" w:name="page169"/>
    <w:bookmarkEnd w:id="168"/>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76" w:lineRule="exact"/>
        <w:rPr>
          <w:sz w:val="20"/>
          <w:szCs w:val="20"/>
          <w:color w:val="auto"/>
        </w:rPr>
      </w:pPr>
    </w:p>
    <w:p>
      <w:pPr>
        <w:jc w:val="both"/>
        <w:ind w:firstLine="656"/>
        <w:spacing w:after="0" w:line="236"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payments and benefits provided hereunder are intended to be structured in a manner to avoid the implication of any penalty taxes under Section 409A of the Code, and shall be interpreted in accordance therewith, in no event whatsoever shall any member of the Company Group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b w:val="1"/>
          <w:bCs w:val="1"/>
          <w:color w:val="auto"/>
        </w:rPr>
        <w:t>Successors and Assigns; No Third-Party Beneficiaries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5"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division or subsidiary, as applicable, without Executive’s consent.</w:t>
      </w:r>
    </w:p>
    <w:p>
      <w:pPr>
        <w:spacing w:after="0" w:line="178"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xml:space="preserve">. Executive’s rights and obligations under this Agreement shall not be transferable by Executive by assignment or otherwise, without the prior written consent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176"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Except as otherwise set forth in Section 7(c) or Section 15(b)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b w:val="1"/>
          <w:bCs w:val="1"/>
          <w:color w:val="auto"/>
        </w:rPr>
        <w:t>Waiver and Amendments</w:t>
      </w:r>
      <w:r>
        <w:rPr>
          <w:rFonts w:ascii="Times New Roman" w:cs="Times New Roman" w:eastAsia="Times New Roman" w:hAnsi="Times New Roman"/>
          <w:sz w:val="22"/>
          <w:szCs w:val="22"/>
          <w:color w:val="auto"/>
        </w:rPr>
        <w:t xml:space="preserve">. Any waiver, alteration, amendment, or modification of any of the terms of this Agreement shall be valid only if made in writing and signed by each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any such waiver, alteration, amendment, or modification must be consented to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xml:space="preserve"> If any covenants or such other provisions of this Agreement are found to be invalid or unenforceable by a final determination of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69" w:name="page170"/>
    <w:bookmarkEnd w:id="169"/>
    <w:p>
      <w:pPr>
        <w:jc w:val="both"/>
        <w:spacing w:after="0" w:line="239" w:lineRule="auto"/>
        <w:rPr>
          <w:sz w:val="20"/>
          <w:szCs w:val="20"/>
          <w:color w:val="auto"/>
        </w:rPr>
      </w:pPr>
      <w:r>
        <w:rPr>
          <w:rFonts w:ascii="Times New Roman" w:cs="Times New Roman" w:eastAsia="Times New Roman" w:hAnsi="Times New Roman"/>
          <w:sz w:val="22"/>
          <w:szCs w:val="22"/>
          <w:color w:val="auto"/>
        </w:rPr>
        <w:t>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b w:val="1"/>
          <w:bCs w:val="1"/>
          <w:color w:val="auto"/>
        </w:rPr>
        <w:t>Governing Law; Choice of Venue; Waiver of Jury Trial.</w:t>
      </w:r>
      <w:r>
        <w:rPr>
          <w:rFonts w:ascii="Times New Roman" w:cs="Times New Roman" w:eastAsia="Times New Roman" w:hAnsi="Times New Roman"/>
          <w:sz w:val="22"/>
          <w:szCs w:val="22"/>
          <w:color w:val="auto"/>
        </w:rPr>
        <w:t xml:space="preserve"> THIS AGREEMENT IS GOVERNED BY AND IS TO BE CONSTRUED UNDER THE LAWS OF THE COMMONWEALTH OF KENTUCKY WITHOUT REFERENCE TO THE PRINCIPLES OF CONFLICT OF LAW, AND BOTH EXECUTIVE AND THE COMPANY CONSENT AND SUBJECT TO THE JURISDICTION OF THE STATE AND FEDERAL COURTS FOR THE COMMONWEALTH OF KENTUCKY. EACH PARTY TO THIS AGREEMENT ALSO HEREBY WAIVES ANY RIGHT TO TRIAL BY JURY IN CONNECTION WITH ANY SUIT, ACTION, OR PROCEEDING UNDER OR IN CONNECTION WITH THIS AGREEMENT. Except as permitted under Section 9 hereof, any controversy or claim arising out of or relating to this Agreement (or the breach thereof) shall be settled by final, binding and non-appealable arbitration in Louisville, Kentucky by three arbitrators. The arbitration shall be conducted by JAMS pursuant to its Employment Arbitration Rules and Procedures and subject to JAMS Policy on Employment Arbitration in accordance with its Employment Arbitration Rules and Procedures then in effect. Judgment on the award rendered by the arbitrators may be entered in any court having jurisdiction thereof. The arbitrators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or permanent injunctive relief. Except as necessary in court proceedings to enforce this arbitration provision or an award rendered hereunder, to obtain interim relief or as otherwise required by law, neither a party nor an arbitrator may disclose the content or results of any arbitration hereunder without the prior written consent of the Company and Executive, other than general statements. The fees charged by JAMS and any arbitrator shall be split equally between the parties to the arbitration.</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xml:space="preserve"> All notices and other communications required or permitted under this Agreement which are addressed as provided in this Section 19, (A) if delivered personally against proper receipt shall be effective upon delivery and (B) if sent (x) by certified or registered mail with postage prepaid or (y) by Federal Express or similar courier service with courier fees paid by the sender, shall be effective upon receipt. The parties hereto may from time to time change their respective addresses for the purpose of notices to that party by a similar notice specifying a new address, but no such change shall be deemed to have been given unless it is sent and received in accordance with this Section 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888 W. Market Street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Louisville, Kentucky 40202</w:t>
      </w:r>
    </w:p>
    <w:p>
      <w:pPr>
        <w:ind w:left="660"/>
        <w:spacing w:after="0"/>
        <w:rPr>
          <w:sz w:val="20"/>
          <w:szCs w:val="20"/>
          <w:color w:val="auto"/>
        </w:rPr>
      </w:pPr>
      <w:r>
        <w:rPr>
          <w:rFonts w:ascii="Times New Roman" w:cs="Times New Roman" w:eastAsia="Times New Roman" w:hAnsi="Times New Roman"/>
          <w:sz w:val="22"/>
          <w:szCs w:val="22"/>
          <w:color w:val="auto"/>
        </w:rPr>
        <w:t>Attn: Chief Legal &amp;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color w:val="auto"/>
        </w:rPr>
        <w:t>With copy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2475 Hanover Street</w:t>
      </w:r>
    </w:p>
    <w:p>
      <w:pPr>
        <w:ind w:left="660"/>
        <w:spacing w:after="0"/>
        <w:rPr>
          <w:sz w:val="20"/>
          <w:szCs w:val="20"/>
          <w:color w:val="auto"/>
        </w:rPr>
      </w:pPr>
      <w:r>
        <w:rPr>
          <w:rFonts w:ascii="Times New Roman" w:cs="Times New Roman" w:eastAsia="Times New Roman" w:hAnsi="Times New Roman"/>
          <w:sz w:val="22"/>
          <w:szCs w:val="22"/>
          <w:color w:val="auto"/>
        </w:rPr>
        <w:t>Palo Alto, CA 94304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Tristan Brown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Executive: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most recent address of Executive set forth in the personnel records of the Company</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b w:val="1"/>
          <w:bCs w:val="1"/>
          <w:color w:val="auto"/>
        </w:rPr>
        <w:t>Section Headings</w:t>
      </w:r>
      <w:r>
        <w:rPr>
          <w:rFonts w:ascii="Times New Roman" w:cs="Times New Roman" w:eastAsia="Times New Roman" w:hAnsi="Times New Roman"/>
          <w:sz w:val="22"/>
          <w:szCs w:val="22"/>
          <w:color w:val="auto"/>
        </w:rPr>
        <w:t>. 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xml:space="preserve"> 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b w:val="1"/>
          <w:bCs w:val="1"/>
          <w:color w:val="auto"/>
        </w:rPr>
        <w:t>Survival of Operative Sections.</w:t>
      </w:r>
      <w:r>
        <w:rPr>
          <w:rFonts w:ascii="Times New Roman" w:cs="Times New Roman" w:eastAsia="Times New Roman" w:hAnsi="Times New Roman"/>
          <w:sz w:val="22"/>
          <w:szCs w:val="22"/>
          <w:color w:val="auto"/>
        </w:rPr>
        <w:t xml:space="preserve"> Upon any termination of Executive’s employment, the provisions of Section 7 through Section 23 of this Agreement (together with any related definitions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shall survive to the extent necessary to give effect to the provisions thereof.</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xml:space="preserve"> This Agreement may be executed in two or more counterparts, each of which shall be deemed to be an original but all of which together shall constitute one and the same instrument. The execution of this Agreement may be by actual or facsimile signature.</w:t>
      </w:r>
    </w:p>
    <w:p>
      <w:pPr>
        <w:spacing w:after="0" w:line="171" w:lineRule="exact"/>
        <w:rPr>
          <w:sz w:val="20"/>
          <w:szCs w:val="20"/>
          <w:color w:val="auto"/>
        </w:rPr>
      </w:pPr>
    </w:p>
    <w:p>
      <w:pPr>
        <w:ind w:left="4260"/>
        <w:spacing w:after="0"/>
        <w:tabs>
          <w:tab w:leader="none" w:pos="4900" w:val="left"/>
          <w:tab w:leader="none" w:pos="55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to appear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1" w:name="page172"/>
    <w:bookmarkEnd w:id="171"/>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executed this Agreement as of the date first above written.</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WAYSTAR, INC.</w:t>
      </w: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 Matthew R. A. Heiman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10795</wp:posOffset>
            </wp:positionV>
            <wp:extent cx="30175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160"/>
        <w:spacing w:after="0"/>
        <w:tabs>
          <w:tab w:leader="none" w:pos="5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Matthew R. A. Heiman</w:t>
      </w:r>
    </w:p>
    <w:p>
      <w:pPr>
        <w:ind w:left="5160"/>
        <w:spacing w:after="0"/>
        <w:rPr>
          <w:sz w:val="20"/>
          <w:szCs w:val="20"/>
          <w:color w:val="auto"/>
        </w:rPr>
      </w:pPr>
      <w:r>
        <w:rPr>
          <w:rFonts w:ascii="Times New Roman" w:cs="Times New Roman" w:eastAsia="Times New Roman" w:hAnsi="Times New Roman"/>
          <w:sz w:val="22"/>
          <w:szCs w:val="22"/>
          <w:color w:val="auto"/>
        </w:rPr>
        <w:t>Title: Chief Legal &amp; Admin. Officer</w:t>
      </w: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 Christopher L. Schremser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10795</wp:posOffset>
            </wp:positionV>
            <wp:extent cx="30175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Christopher L. Schremser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Employment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firstLine="656"/>
        <w:spacing w:after="0" w:line="236"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mean (i) all accrued but unpaid Base Salary through the date of termination of Executive’s employment, (ii) any unpaid or unreimbursed expenses incurred in accordance with Section 6 hereof, (iii) an amount equal to Executive’s accrued, but unused vacation days in accordance with the Company’s vacation policies in effect from time to time, and (iv) any benefits provided under the Company’s employee benefit plans upon a termination of employment, including rights with respect to equity participation under the Equity Documents, in accordance with the terms contained therein.</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Waystar Holdings Corp.</w:t>
      </w:r>
    </w:p>
    <w:p>
      <w:pPr>
        <w:spacing w:after="0" w:line="206"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mean (i) any business activities related to healthcare-related software and services, or (ii) any business in which the Company Group is actively contemplating in engaging at the relevant time (or, with respect to Executive’s obligations under Section 9(d) hereof during the Post-Termination Restricted Period, at the time of termination of Executive’s employment with the Company) if Executive has actual or constructive knowledge of such contemplation.</w:t>
      </w:r>
    </w:p>
    <w:p>
      <w:pPr>
        <w:spacing w:after="0" w:line="176"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Relation</w:t>
      </w:r>
      <w:r>
        <w:rPr>
          <w:rFonts w:ascii="Times New Roman" w:cs="Times New Roman" w:eastAsia="Times New Roman" w:hAnsi="Times New Roman"/>
          <w:sz w:val="22"/>
          <w:szCs w:val="22"/>
          <w:color w:val="auto"/>
        </w:rPr>
        <w:t>” shall mean any current or prospective client, customer, licensee, supplier, or other business relation of the Company Group, or any such relation that was a client, customer, licensee or other business relation at the relevant time (or, with respect to Executive’s obligations under Section 9(e) hereof during the Post-Termination Restricted Period, at the time of termination of Executive’s employment with the Company) or within the prior six (6)-month period thereto, in each case, with whom Executive transacted business or whose identity became known to Executive in connection with Executive’s employment hereunder.</w:t>
      </w:r>
    </w:p>
    <w:p>
      <w:pPr>
        <w:spacing w:after="0" w:line="181"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Executive’s act(s) of gross negligence or willful misconduct in the course of Executive’s employment hereunder, (ii) willful failure or refusal by Executive to perform in any material respect Executive’s duties or responsibilities, (iii) misappropriation (or attempted misappropriation) by Executive of any assets or business opportunities of the Company or any other member of the Company Group, (iv) embezzlement or fraud committed (or attempted) by Executive, or at Executive’s direction, (v) Executive’s conviction of, indictment for,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and those otherwise set forth in the manuals or statements of policy of the Company, or (vii) Executive’s material breach of this Agreement or any other written agreement between Executive and any group (including any restrictive covenants).</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has the meaning set forth in the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782320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73" w:name="page174"/>
    <w:bookmarkEnd w:id="173"/>
    <w:p>
      <w:pPr>
        <w:jc w:val="both"/>
        <w:ind w:firstLine="656"/>
        <w:spacing w:after="0" w:line="244"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Qualified Termination</w:t>
      </w:r>
      <w:r>
        <w:rPr>
          <w:rFonts w:ascii="Times New Roman" w:cs="Times New Roman" w:eastAsia="Times New Roman" w:hAnsi="Times New Roman"/>
          <w:sz w:val="22"/>
          <w:szCs w:val="22"/>
          <w:color w:val="auto"/>
        </w:rPr>
        <w:t>” means a termination of Executive’s employment pursuant to Section 7(e) or Section 7(f), in either case, within the six (6)-month period prior to, on or within the twenty-four (24) month period following a Change in Control.</w:t>
      </w:r>
    </w:p>
    <w:p>
      <w:pPr>
        <w:spacing w:after="0" w:line="173" w:lineRule="exact"/>
        <w:rPr>
          <w:rFonts w:ascii="Times New Roman" w:cs="Times New Roman" w:eastAsia="Times New Roman" w:hAnsi="Times New Roman"/>
          <w:sz w:val="22"/>
          <w:szCs w:val="22"/>
          <w:color w:val="auto"/>
        </w:rPr>
      </w:pPr>
    </w:p>
    <w:p>
      <w:pPr>
        <w:ind w:right="20" w:firstLine="656"/>
        <w:spacing w:after="0" w:line="258"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and the rules and regulations promulgated thereunder.</w:t>
      </w:r>
    </w:p>
    <w:p>
      <w:pPr>
        <w:spacing w:after="0" w:line="158"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shall mean Waystar Holdings Corp. together with any of its direct or indirect subsidiaries, including, without limitation, the Company.</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mean the Compensation Committee of the Board.</w:t>
      </w:r>
    </w:p>
    <w:p>
      <w:pPr>
        <w:spacing w:after="0" w:line="206"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information that the Company Group has or will develop, acquire, create, compile, discover, or own, that has value in or to the business of the Company Group that is not generally known and that the Company wishes to maintain as confidential. Confidential Information includes, but is not limited to, any and all non-public information that relates to the actual or anticipated business and/or products, research, or development of the Company Group, or to the Company Group’s technical data, trade secrets, or know-how, including, but not limited to, research, plans, or other information regarding the Company Group’s products or services and markets, customer lists, and customers (including, but not limited to, customers of the Company on whom Executive called or with whom Executive may become acquainted during the Term of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Group property. Notwithstanding the foregoing, Confidential Information shall not include any of the foregoing items that have become publicly and widely known through no unauthorized disclosure by Executive or others who were under confidentiality obligations as to the item or items involved.</w:t>
      </w:r>
    </w:p>
    <w:p>
      <w:pPr>
        <w:spacing w:after="0" w:line="180" w:lineRule="exact"/>
        <w:rPr>
          <w:rFonts w:ascii="Times New Roman" w:cs="Times New Roman" w:eastAsia="Times New Roman" w:hAnsi="Times New Roman"/>
          <w:sz w:val="21"/>
          <w:szCs w:val="21"/>
          <w:color w:val="auto"/>
        </w:rPr>
      </w:pPr>
    </w:p>
    <w:p>
      <w:pPr>
        <w:jc w:val="both"/>
        <w:ind w:firstLine="656"/>
        <w:spacing w:after="0" w:line="235"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any physical or mental disability or infirmity of Executive that prevents the performance of Executive’s duties for a period of (i) ninety (90) consecutive days or (ii) one hundred twenty (120) non-consecutive days during any twelve (12) month period. Any question as to the existence, extent, or potentiality of Executive’s Disability upon which Executive and the Company cannot agree shall be determined by a qualified, independent physician selected by the Company and approved by Executive (which approval shall not be unreasonably withheld, delayed or conditioned). The determination of any such physician shall be final and conclusive for all purposes of this Agreement.</w:t>
      </w:r>
    </w:p>
    <w:p>
      <w:pPr>
        <w:spacing w:after="0" w:line="183"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Incentive Plan</w:t>
      </w:r>
      <w:r>
        <w:rPr>
          <w:rFonts w:ascii="Times New Roman" w:cs="Times New Roman" w:eastAsia="Times New Roman" w:hAnsi="Times New Roman"/>
          <w:sz w:val="22"/>
          <w:szCs w:val="22"/>
          <w:color w:val="auto"/>
        </w:rPr>
        <w:t>” means the Waystar Holdings Corp. 2024 Equity Incentive Plan, as may be amended and/or restated from time to time, and any successor plan thereto.</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without Executive’s consent, (i) a material diminution or demotion in Executive’s title, duties, or responsibilities as set forth in Section 3 hereof, (ii) a reduction in Base Salary or Target Annual Bonus opportunity (other than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4" w:name="page175"/>
    <w:bookmarkEnd w:id="17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 across-the-board reduction applicable to all similarly situated executives), (iii) requiring Executive to relocate Executive’s principal business location to a work site more than fifty (50) miles from the current principal business location, or (iv) any other material breach of a provision of this Agreement by the Company (other than a provision that is covered by clause (i), (ii), or (iii) above). Executive acknowledges and agrees that Executive’s exclusive remedy in the event of any breach of this Agreement shall be to assert Good Reason pursuant to the terms and conditions of Section 7(f) hereof. Notwithstanding the foregoing, during the Term of Employment, in the event that the Board reasonably believes that Executive may have engaged in conduct that could constitute Cause hereunder, the Board may, in its sole and absolute discretion, suspend Executive from performing Executive’s duties hereunder, and in no event shall any such suspension constitute an event pursuant to which Executive may terminate employment with Good Reason or otherwise constitute a breach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such suspension shall alter the Company’s obligations under this Agreement during such period of suspension.</w:t>
      </w:r>
    </w:p>
    <w:p>
      <w:pPr>
        <w:spacing w:after="0" w:line="185" w:lineRule="exact"/>
        <w:rPr>
          <w:sz w:val="20"/>
          <w:szCs w:val="20"/>
          <w:color w:val="auto"/>
        </w:rPr>
      </w:pPr>
    </w:p>
    <w:p>
      <w:pPr>
        <w:jc w:val="both"/>
        <w:ind w:firstLine="656"/>
        <w:spacing w:after="0" w:line="243" w:lineRule="auto"/>
        <w:tabs>
          <w:tab w:leader="none" w:pos="129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Interfering Activities</w:t>
      </w:r>
      <w:r>
        <w:rPr>
          <w:rFonts w:ascii="Times New Roman" w:cs="Times New Roman" w:eastAsia="Times New Roman" w:hAnsi="Times New Roman"/>
          <w:sz w:val="21"/>
          <w:szCs w:val="21"/>
          <w:color w:val="auto"/>
        </w:rPr>
        <w:t>” shall mean (A) recruiting, encouraging, soliciting, or inducing, or in any manner attempting to recruit, encourage, solicit, or induce, any Person employed by, or providing consulting services to, any member of the Company Group to terminate such Person’s employment or services (or in the case of a consultant, materially reducing such services) with the Company Group (other than, in any case, solicitations generated by a form offer letter, blanket mailing or published advertisement), (B) hiring, or engaging any individual who was employed by or providing services to the Company Group at or within the six (6)-month period prior to the date of such hiring or engagement (or, with respect to Executive’s obligations under Section 9(e) hereof during the Post-Termination Restricted Period, at or within the six (6)-month period prior to the termination of Executive’s employment with the Company), or (C) encouraging, soliciting, or inducing, or in any manner attempting to encourage, solicit, or induce, any Business Relation to cease doing business with or reduce the amount of business conducted with the Company Group, or in any way intentionally interfering with the relationship between any such Business Relation and the Company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restriction shall apply: (x) only with respect to those Persons who are, or have been, a Business Relation of the Company or any of its affiliates at any time within the eighteen (18)-month period immediately preceding the activity or whose business has been solicited on behalf of the Company or any of its affiliates by any of their officers, employees or agents within such eighteen (18)-month period, other than by a form offer letter, blanket mailing or published advertisement; and (y) only if Executive has performed work for such Person during Executive’s employment with the Company or one of its affiliates or been introduced to, or otherwise had contact with, such Person or has had access to Confidential Information that would assist Executive in the solicitation of such Person).</w:t>
      </w:r>
    </w:p>
    <w:p>
      <w:pPr>
        <w:spacing w:after="0" w:line="187" w:lineRule="exact"/>
        <w:rPr>
          <w:rFonts w:ascii="Times New Roman" w:cs="Times New Roman" w:eastAsia="Times New Roman" w:hAnsi="Times New Roman"/>
          <w:sz w:val="21"/>
          <w:szCs w:val="21"/>
          <w:color w:val="auto"/>
        </w:rPr>
      </w:pPr>
    </w:p>
    <w:p>
      <w:pPr>
        <w:jc w:val="both"/>
        <w:ind w:firstLine="656"/>
        <w:spacing w:after="0" w:line="244"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Post-Termination Restricted Period</w:t>
      </w:r>
      <w:r>
        <w:rPr>
          <w:rFonts w:ascii="Times New Roman" w:cs="Times New Roman" w:eastAsia="Times New Roman" w:hAnsi="Times New Roman"/>
          <w:sz w:val="22"/>
          <w:szCs w:val="22"/>
          <w:color w:val="auto"/>
        </w:rPr>
        <w:t>” shall mean the period commencing on the date of the termination of the Term of Employment for any reason and ending on the twelve (12)-month anniversary of such date of termination.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Multiplier</w:t>
      </w:r>
      <w:r>
        <w:rPr>
          <w:rFonts w:ascii="Times New Roman" w:cs="Times New Roman" w:eastAsia="Times New Roman" w:hAnsi="Times New Roman"/>
          <w:sz w:val="22"/>
          <w:szCs w:val="22"/>
          <w:color w:val="auto"/>
        </w:rPr>
        <w:t>” means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5" w:name="page176"/>
    <w:bookmarkEnd w:id="175"/>
    <w:p>
      <w:pPr>
        <w:jc w:val="both"/>
        <w:ind w:firstLine="656"/>
        <w:spacing w:after="0" w:line="244"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Term</w:t>
      </w:r>
      <w:r>
        <w:rPr>
          <w:rFonts w:ascii="Times New Roman" w:cs="Times New Roman" w:eastAsia="Times New Roman" w:hAnsi="Times New Roman"/>
          <w:sz w:val="22"/>
          <w:szCs w:val="22"/>
          <w:color w:val="auto"/>
        </w:rPr>
        <w:t>” means the period commencing on the date of the termination pursuant to Section 7(e) or Section 7(f) and ending a number of months thereafter calculated by multiplying the Severance Multiplier by twelve (12).</w:t>
      </w:r>
    </w:p>
    <w:p>
      <w:pPr>
        <w:spacing w:after="0" w:line="173"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xml:space="preserve">” shall mean the Release of Claims in substantially the same form attached hereto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(as the same may be revised for updates due to changes in applicable law).</w:t>
      </w:r>
    </w:p>
    <w:p>
      <w:pPr>
        <w:spacing w:after="0" w:line="158" w:lineRule="exact"/>
        <w:rPr>
          <w:rFonts w:ascii="Times New Roman" w:cs="Times New Roman" w:eastAsia="Times New Roman" w:hAnsi="Times New Roman"/>
          <w:sz w:val="22"/>
          <w:szCs w:val="22"/>
          <w:color w:val="auto"/>
        </w:rPr>
      </w:pPr>
    </w:p>
    <w:p>
      <w:pPr>
        <w:ind w:left="4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RELEASE OF CLAIMS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As used in 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For and in consideration of the Severance Benefits, and other good and valuable consideration, I, Christopher L. Schremser for and on behalf of myself and my heirs, administrators, executors, and assigns, effective the date on which this release becomes effective pursuant to its terms, do fully and forever release, remise, and discharge each of the Company and each of its direct and indirect subsidiaries and affiliates, together with their respective officers, directors, partners, shareholders, employees, and agents (collectively, the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from any and all claims whatsoever up to the date hereof that I had, may have had, or now have against the Group, for or by reason of any matter, cause, or thing whatsoever, including any claim arising out of or attributable to my employment or the termination of my employment with the Company, whether for tort, breach of express or implied employment contract, intentional infliction of emotional distress, wrongful termination, unjust dismissal, defamation, libel, or slander, or under any federal, state, or local law dealing with discrimination based on age, race, sex, national origin, handicap, religion, disability, or sexual orientation. This release of claims includes, but is not limited to, all claims arising under the Age Discrimination in Employment Act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Title VII of the Civil Rights Act, the Americans with Disabilities Act, the Civil Rights Act of 1991, the Family Medical Leave Act, and the Equal Pay Act, each as may be amended from time to time, and all other federal, state, and local laws, the common law, and any other purported restriction on an employer’s right to terminate the employment of employees. The release contained herein is intended to be a general release of any and all claims to the fullest extent permissible by law.</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 acknowledge and agree that as of the date I execute this Release, I have no knowledge of any facts or circumstances that give rise or could give rise to any claims under any of the laws listed in the preceding paragraph.</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Notwithstanding any provision of this Release to the contrary, by executing this Release, I am not releasing (i) any claims relating to my rights under Section 7 of the Employment Agreement (as defined below),</w:t>
      </w:r>
    </w:p>
    <w:p>
      <w:pPr>
        <w:spacing w:after="0" w:line="2" w:lineRule="exact"/>
        <w:rPr>
          <w:sz w:val="20"/>
          <w:szCs w:val="20"/>
          <w:color w:val="auto"/>
        </w:rPr>
      </w:pPr>
    </w:p>
    <w:p>
      <w:pPr>
        <w:jc w:val="both"/>
        <w:ind w:firstLine="8"/>
        <w:spacing w:after="0" w:line="234" w:lineRule="auto"/>
        <w:tabs>
          <w:tab w:leader="none" w:pos="36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claims that cannot be waived by law, (iii) any claims relating to any vested benefits or rights as a shareholder of the Company, or (iv) my right of indemnification as provided by, and in accordance with the terms of, the Company’s by-laws, the Employment Agreement or a Company insurance policy providing such coverage, as any of such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22"/>
          <w:szCs w:val="22"/>
          <w:color w:val="auto"/>
        </w:rPr>
        <w:t>I expressly acknowledge and agree that I –</w:t>
      </w:r>
    </w:p>
    <w:p>
      <w:pPr>
        <w:spacing w:after="0" w:line="206" w:lineRule="exact"/>
        <w:rPr>
          <w:sz w:val="20"/>
          <w:szCs w:val="20"/>
          <w:color w:val="auto"/>
        </w:rPr>
      </w:pPr>
    </w:p>
    <w:p>
      <w:pPr>
        <w:ind w:left="1300" w:hanging="320"/>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 able to read the language, and understand the meaning and effect, of this Release;</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 specifically agreeing to the terms of the release contained in this Release because the Company has agreed to pay me the Severance Benefits in consideration for my agreement to accept it in full settlement of all possible claims I might have or ever had, and because of my execution of this Release;</w:t>
      </w:r>
    </w:p>
    <w:p>
      <w:pPr>
        <w:spacing w:after="0" w:line="180"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 that, but for my execution of this Release, I would not be entitled to the Severance Benefits;</w:t>
      </w:r>
    </w:p>
    <w:p>
      <w:pPr>
        <w:spacing w:after="0" w:line="15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that, by entering into this Release, I do not waive rights or claims under ADEA that may arise after the date I execute this Release;</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or could have [twenty-one (21)][forty-five (45)]</w:t>
      </w:r>
      <w:r>
        <w:rPr>
          <w:rFonts w:ascii="Times New Roman" w:cs="Times New Roman" w:eastAsia="Times New Roman" w:hAnsi="Times New Roman"/>
          <w:sz w:val="16"/>
          <w:szCs w:val="16"/>
          <w:color w:val="auto"/>
        </w:rPr>
        <w:t>1</w:t>
      </w:r>
      <w:r>
        <w:rPr>
          <w:rFonts w:ascii="Times New Roman" w:cs="Times New Roman" w:eastAsia="Times New Roman" w:hAnsi="Times New Roman"/>
          <w:sz w:val="22"/>
          <w:szCs w:val="22"/>
          <w:color w:val="auto"/>
        </w:rPr>
        <w:t xml:space="preserve"> days from the date of my termination of employment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in which to review and consider this Release, and that if I execute this Release prior to the Release Expiration Date, I have voluntarily and knowingly waived the remainder of the review period;</w:t>
      </w:r>
    </w:p>
    <w:p>
      <w:pPr>
        <w:spacing w:after="0" w:line="180"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not relied upon any representation or statement not set forth in this Release or my Employment Agreement made by the Company or any of its representatives;</w:t>
      </w:r>
    </w:p>
    <w:p>
      <w:pPr>
        <w:spacing w:after="0" w:line="15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advised to consult with my attorney regarding the terms and effect of this Release; and</w:t>
      </w:r>
    </w:p>
    <w:p>
      <w:pPr>
        <w:spacing w:after="0" w:line="20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signed this Release knowingly and voluntarily.</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1568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1 To be selected based on whether applicable termination was “in connection with an exit incentive or other employment termination program” (as such phrase is defined in the Age Discrimination in Employment Act of 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8" w:name="page179"/>
    <w:bookmarkEnd w:id="178"/>
    <w:p>
      <w:pPr>
        <w:jc w:val="both"/>
        <w:spacing w:after="0" w:line="236" w:lineRule="auto"/>
        <w:rPr>
          <w:sz w:val="20"/>
          <w:szCs w:val="20"/>
          <w:color w:val="auto"/>
        </w:rPr>
      </w:pPr>
      <w:r>
        <w:rPr>
          <w:rFonts w:ascii="Times New Roman" w:cs="Times New Roman" w:eastAsia="Times New Roman" w:hAnsi="Times New Roman"/>
          <w:sz w:val="22"/>
          <w:szCs w:val="22"/>
          <w:color w:val="auto"/>
        </w:rPr>
        <w:t>charge, or lawsuit. This paragraph shall not apply, however, to a claim of age discrimination under ADEA or to any non-waivable right to file a charge with the United States Equal Employment Opportunity Commission (the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EEOC were to pursue any claims relating to my employment with Company, I agree that I shall not be entitled to recover any monetary damages or any other remedies or benefits as a result and that this Release and the Severance Benefits will control as the exclusive remedy and full settlement of all such claims by me.</w:t>
      </w:r>
    </w:p>
    <w:p>
      <w:pPr>
        <w:spacing w:after="0" w:line="18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Nothing in this Release shall prohibit or impede me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I understand and acknowledge that an individual shall not be held criminally or civilly liable under any federal or state trade secret law for the disclosure of a trade secret that is made (1) in confidence to a federal, state, or local government official or to an attorney solely for the purpose of reporting or investigating a suspected violation of law or (2) in a complaint or other document filed in a lawsuit or other proceeding, if such filing is made under seal. I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am I authorized to disclose any information covered by the Company’s attorney-client privilege or attorney work product, or the Company’s trade secrets, without the prior written consent of the Company’s Chief Legal &amp; Administrative Officer or other officer designated by the Company. I do not need the prior authorization of (or to give notice to) any member of the Company Group regarding any communication, disclosure, or activity permitted by this paragraph.</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 hereby agree to waive any and all claims to re-employment with the Company or any other member of the Company Group (as defined in my Employment Agreement) and affirmatively agree not to seek further employment with the Company or any other member of the Company Group.</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anything contained herein to the contrary, this Release will not become effective or enforceable prior to the expiration of the period of seven (7) calendar days following the date of its execution by me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during which time I may revoke my acceptance of this Release by notifying the Company and the Board of Directors of the Company, in writing, delivered to the Company at its principal executive office, marked for the attention of its Chief Legal &amp; Administrative Officer. To be effective, such revocation must be received by the Company no later than 11:59 p.m. Eastern Time on the seventh (7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calendar day following the execution of this Release. Provided that the Release is executed and I do not revoke it during the Revocation Period, the eighth (8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following the date on which this Release is executed shall be its effective date. I acknowledge and agree that if I revoke this Release during the Revocation Period, this Release will be null and void and of no effect, and neither the Company nor any other member of the Company will have any obligations to pay me the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770890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9" w:name="page180"/>
    <w:bookmarkEnd w:id="179"/>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WHERE PREEMPTED BY FEDERAL LAW, THIS RELEASE SHALL BE GOVERNED BY AND CONSTRUED IN ACCORDANCE WITH FEDERAL LAW AND THE LAWS OF THE COMMONWEALTH OF KENTUCKY, APPLICABLE TO AGREEMENTS MADE AND TO BE PERFORMED IN THAT STATE WITHOUT GIVING EFFECT TO THE PRINCIPLES OF CONFLICTS OF LAWS. I HEREBY WAIVE ANY RIGHT TO TRIAL BY JURY IN CONNECTION WITH ANY SUIT, ACTION, OR PROCEEDING UNDER OR IN CONNECTION WITH THIS RELEASE.</w:t>
      </w:r>
    </w:p>
    <w:p>
      <w:pPr>
        <w:spacing w:after="0" w:line="1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ascribed to such terms in my Employment Agreement, dated May 24, 2024, with the Company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L. Schremser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31375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225425</wp:posOffset>
            </wp:positionV>
            <wp:extent cx="15773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92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Securities Trading Policy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contains the following sections:</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General</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Definitions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Statement of Policy</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Other Prohibited Transactions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Certain Limited Exceptions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Pre-clearance of Trades and Other Procedures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10b5-1 and Other Trading Plans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7"/>
          <w:szCs w:val="17"/>
          <w:color w:val="auto"/>
        </w:rPr>
        <w:t>Potential Criminal and Civil Liability and/or Disciplinary Action</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7"/>
          <w:szCs w:val="17"/>
          <w:color w:val="auto"/>
        </w:rPr>
        <w:t>Broker Requirements for Section 16 Persons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7"/>
          <w:szCs w:val="17"/>
          <w:color w:val="auto"/>
        </w:rPr>
        <w:t>Confidentiality</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Legal Effect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ind w:left="660" w:right="1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Waystar Holding Corp. and its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have adopted this Policy to prevent insider trading or even allegations of insider trading. Strict adherence to this Policy will help safeguard both the Company’s reputation and integrity and your own. This Policy applies to all of the following (collectively, the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each of whom must, at all times, comply with the securities laws of the United States and all other applicable jurisdictions:</w:t>
      </w:r>
    </w:p>
    <w:p>
      <w:pPr>
        <w:spacing w:after="0" w:line="180" w:lineRule="exact"/>
        <w:rPr>
          <w:sz w:val="20"/>
          <w:szCs w:val="20"/>
          <w:color w:val="auto"/>
        </w:rPr>
      </w:pPr>
    </w:p>
    <w:p>
      <w:pPr>
        <w:ind w:left="1300" w:right="120" w:hanging="320"/>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employees and any other persons the Company determines should be subject to this Policy, such as contractors and consultants (collectively, “</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1" w:lineRule="auto"/>
        <w:tabs>
          <w:tab w:leader="none" w:pos="13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households of Company Personnel (including any person who lives in the household of Company Personnel whether or not a family member), and any family members of Company Personnel who do not live in their household but whose transactions in Company securities are directed by or subject the influence or control of Company Personnel (e.g., parents or children who consult with Company Personnel before they trade in Company securities); and</w:t>
      </w:r>
    </w:p>
    <w:p>
      <w:pPr>
        <w:spacing w:after="0" w:line="164"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corporations and other entities controlled by any of such persons.</w:t>
      </w:r>
    </w:p>
    <w:p>
      <w:pPr>
        <w:spacing w:after="0" w:line="225"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Notwithstanding the foregoing or anything to the contrary in this Policy, Insiders shall not include, and this Policy shall not apply to, any entity if such entity, or any affiliate thereof, is advised or managed by an investment advisor which is, or an affiliate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1" w:name="page182"/>
    <w:bookmarkEnd w:id="181"/>
    <w:p>
      <w:pPr>
        <w:ind w:left="660" w:right="140"/>
        <w:spacing w:after="0" w:line="261" w:lineRule="auto"/>
        <w:rPr>
          <w:sz w:val="20"/>
          <w:szCs w:val="20"/>
          <w:color w:val="auto"/>
        </w:rPr>
      </w:pPr>
      <w:r>
        <w:rPr>
          <w:rFonts w:ascii="Times New Roman" w:cs="Times New Roman" w:eastAsia="Times New Roman" w:hAnsi="Times New Roman"/>
          <w:sz w:val="18"/>
          <w:szCs w:val="18"/>
          <w:color w:val="auto"/>
        </w:rPr>
        <w:t>investment advisor is, registered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a registered investment adviser under the U.S. Investment Advisers Act of 1940, as amended, and is subject to policies or procedures designed to ensure compliance with federal securities laws and regulations prohibiting trading in the securities of a company on the basis of material, non-public information.</w:t>
      </w:r>
    </w:p>
    <w:p>
      <w:pPr>
        <w:spacing w:after="0" w:line="180" w:lineRule="exact"/>
        <w:rPr>
          <w:sz w:val="20"/>
          <w:szCs w:val="20"/>
          <w:color w:val="auto"/>
        </w:rPr>
      </w:pPr>
    </w:p>
    <w:p>
      <w:pPr>
        <w:ind w:left="660" w:right="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Federal securities laws prohibit trading in the securities of a company while aware of “inside” information. These transactions are commonly known as “insider trading”. It is also illegal to recommend to others (commonly called “tipping”) that they buy, sell or retain the securities of a company to which such inside information relates. This includes any communication providing inside information on social media or other internal or external internet platforms. Anyone violating these laws is subject to personal liability and could face significant fines and criminal penalties, including imprisonment. Federal securities laws also create a strong incentive for the Company to deter insider trading by its employees. In the normal course of business, Company Personnel may come into possession of inside information concerning the Company, its industry, transactions in which the Company proposes to engage, or customers, partners, vendors, or other entities with which the Company does business. Therefore, the Company has established this Policy with respect to trading in its securities and securities of certain other companies. Any violation of this Policy could subject you to disciplinary action, up to and including termination. See Section 8.0.</w:t>
      </w:r>
    </w:p>
    <w:p>
      <w:pPr>
        <w:spacing w:after="0" w:line="192" w:lineRule="exact"/>
        <w:rPr>
          <w:sz w:val="20"/>
          <w:szCs w:val="20"/>
          <w:color w:val="auto"/>
        </w:rPr>
      </w:pPr>
    </w:p>
    <w:p>
      <w:pPr>
        <w:ind w:left="660" w:right="1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Policy concerns compliance as it pertains to the disclosure of inside information regarding the Company or another company and to trading in securities while in possession of such inside information. In addition to requiring that Insiders comply with the letter of the law, it is the Company’s policy that Insiders exercise judgment so as to also comply with the spirit of the law and avoid even the appearance of impropriety.</w:t>
      </w:r>
    </w:p>
    <w:p>
      <w:pPr>
        <w:spacing w:after="0" w:line="180" w:lineRule="exact"/>
        <w:rPr>
          <w:sz w:val="20"/>
          <w:szCs w:val="20"/>
          <w:color w:val="auto"/>
        </w:rPr>
      </w:pPr>
    </w:p>
    <w:p>
      <w:pPr>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This Policy is intended to protect Insiders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Chief Legal Officer (or their designee).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p>
    <w:p>
      <w:pPr>
        <w:spacing w:after="0" w:line="229" w:lineRule="exact"/>
        <w:rPr>
          <w:sz w:val="20"/>
          <w:szCs w:val="20"/>
          <w:color w:val="auto"/>
        </w:rPr>
      </w:pPr>
    </w:p>
    <w:p>
      <w:pPr>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For purposes of this Policy, the term “family members” includes family members who reside with you,</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anyone else who lives in your household and any family members who do not live in your household but whose transactions in the Company’s securities are directed by you or are subject to your influence or control. Company Personnel are responsible for the transactions of their family members and therefore should make them aware of the need to confer with you before they trade in the Company’s securities or securities of companies we do business with.</w:t>
      </w:r>
    </w:p>
    <w:p>
      <w:pPr>
        <w:spacing w:after="0" w:line="183" w:lineRule="exact"/>
        <w:rPr>
          <w:sz w:val="20"/>
          <w:szCs w:val="20"/>
          <w:color w:val="auto"/>
        </w:rPr>
      </w:pPr>
    </w:p>
    <w:p>
      <w:pPr>
        <w:ind w:left="660" w:right="5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Information is generally considered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if a reasonable investor would consider it important in deciding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whether to buy, sell or hold a security.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2" w:name="page183"/>
    <w:bookmarkEnd w:id="182"/>
    <w:p>
      <w:pPr>
        <w:ind w:left="200"/>
        <w:spacing w:after="0" w:line="258" w:lineRule="auto"/>
        <w:rPr>
          <w:sz w:val="20"/>
          <w:szCs w:val="20"/>
          <w:color w:val="auto"/>
        </w:rPr>
      </w:pPr>
      <w:r>
        <w:rPr>
          <w:rFonts w:ascii="Times New Roman" w:cs="Times New Roman" w:eastAsia="Times New Roman" w:hAnsi="Times New Roman"/>
          <w:sz w:val="18"/>
          <w:szCs w:val="18"/>
          <w:color w:val="auto"/>
        </w:rPr>
        <w:t>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Insiders should assume that information that would affect their consideration of whether to trade, or which might tend to influence the price of the security, is Material.</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Examples of Material information may include, but are not limited to:</w:t>
      </w:r>
    </w:p>
    <w:p>
      <w:pPr>
        <w:spacing w:after="0" w:line="225" w:lineRule="exact"/>
        <w:rPr>
          <w:sz w:val="20"/>
          <w:szCs w:val="20"/>
          <w:color w:val="auto"/>
        </w:rPr>
      </w:pPr>
    </w:p>
    <w:p>
      <w:pPr>
        <w:ind w:left="520" w:right="160" w:hanging="324"/>
        <w:spacing w:after="0" w:line="282"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other financial results, estimates, guidance, or projections, confirmations of or changes to previously released results, estimates or guidance, or projections;</w:t>
      </w:r>
    </w:p>
    <w:p>
      <w:pPr>
        <w:spacing w:after="0" w:line="161"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merger, acquisition or divestiture proposal or agreement;</w:t>
      </w:r>
    </w:p>
    <w:p>
      <w:pPr>
        <w:spacing w:after="0" w:line="225"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joint ventures or changes in assets;</w:t>
      </w:r>
    </w:p>
    <w:p>
      <w:pPr>
        <w:spacing w:after="0" w:line="225" w:lineRule="exact"/>
        <w:rPr>
          <w:rFonts w:ascii="Times New Roman" w:cs="Times New Roman" w:eastAsia="Times New Roman" w:hAnsi="Times New Roman"/>
          <w:sz w:val="18"/>
          <w:szCs w:val="18"/>
          <w:color w:val="auto"/>
        </w:rPr>
      </w:pPr>
    </w:p>
    <w:p>
      <w:pPr>
        <w:ind w:left="520" w:right="320" w:hanging="324"/>
        <w:spacing w:after="0" w:line="266"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financings and other events involving the Company’s securities (e.g., public or private sales by the Company, its senior management or significant security holders, calls of securities for redemption, share repurchase plans, stock splits and changes to the rights of security holders);</w:t>
      </w:r>
    </w:p>
    <w:p>
      <w:pPr>
        <w:spacing w:after="0" w:line="175"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information;</w:t>
      </w:r>
    </w:p>
    <w:p>
      <w:pPr>
        <w:spacing w:after="0" w:line="225" w:lineRule="exact"/>
        <w:rPr>
          <w:rFonts w:ascii="Times New Roman" w:cs="Times New Roman" w:eastAsia="Times New Roman" w:hAnsi="Times New Roman"/>
          <w:sz w:val="18"/>
          <w:szCs w:val="18"/>
          <w:color w:val="auto"/>
        </w:rPr>
      </w:pPr>
    </w:p>
    <w:p>
      <w:pPr>
        <w:ind w:left="520" w:right="480" w:hanging="324"/>
        <w:spacing w:after="0" w:line="282"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refinancing or repayment of significant indebtedness, bank borrowings outside of the ordinary course, or defaults in respect of any indebtedness;</w:t>
      </w:r>
    </w:p>
    <w:p>
      <w:pPr>
        <w:spacing w:after="0" w:line="161" w:lineRule="exact"/>
        <w:rPr>
          <w:rFonts w:ascii="Times New Roman" w:cs="Times New Roman" w:eastAsia="Times New Roman" w:hAnsi="Times New Roman"/>
          <w:sz w:val="18"/>
          <w:szCs w:val="18"/>
          <w:color w:val="auto"/>
        </w:rPr>
      </w:pPr>
    </w:p>
    <w:p>
      <w:pPr>
        <w:ind w:left="520" w:right="280" w:hanging="324"/>
        <w:spacing w:after="0" w:line="266"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lines of business and products, intellectual property, relations with regulators, partnerships, and consortiums, including the acquisition or loss of an important piece of intellectual property, customer, contract or relationship;</w:t>
      </w:r>
    </w:p>
    <w:p>
      <w:pPr>
        <w:spacing w:after="0" w:line="175"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or in senior management;</w:t>
      </w:r>
    </w:p>
    <w:p>
      <w:pPr>
        <w:spacing w:after="0" w:line="225" w:lineRule="exact"/>
        <w:rPr>
          <w:rFonts w:ascii="Times New Roman" w:cs="Times New Roman" w:eastAsia="Times New Roman" w:hAnsi="Times New Roman"/>
          <w:sz w:val="18"/>
          <w:szCs w:val="18"/>
          <w:color w:val="auto"/>
        </w:rPr>
      </w:pPr>
    </w:p>
    <w:p>
      <w:pPr>
        <w:ind w:left="520" w:right="40" w:hanging="324"/>
        <w:spacing w:after="0" w:line="282"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the Company’s operations or loss, potential loss, breach or unauthorized access of its property or assets, including its facilities, data and information technology infrastructure;</w:t>
      </w:r>
    </w:p>
    <w:p>
      <w:pPr>
        <w:spacing w:after="0" w:line="161"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w:t>
      </w:r>
    </w:p>
    <w:p>
      <w:pPr>
        <w:spacing w:after="0" w:line="225"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disagreements with, auditors or notifications that the Company may no longer rely on such firm’s report;</w:t>
      </w:r>
    </w:p>
    <w:p>
      <w:pPr>
        <w:spacing w:after="0" w:line="225" w:lineRule="exact"/>
        <w:rPr>
          <w:rFonts w:ascii="Times New Roman" w:cs="Times New Roman" w:eastAsia="Times New Roman" w:hAnsi="Times New Roman"/>
          <w:sz w:val="18"/>
          <w:szCs w:val="18"/>
          <w:color w:val="auto"/>
        </w:rPr>
      </w:pPr>
    </w:p>
    <w:p>
      <w:pPr>
        <w:ind w:left="520" w:right="840" w:hanging="324"/>
        <w:spacing w:after="0" w:line="282" w:lineRule="auto"/>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litigation or governmental investigations or the resolution of such an action or investigation;</w:t>
      </w:r>
    </w:p>
    <w:p>
      <w:pPr>
        <w:spacing w:after="0" w:line="161"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risks or incidents concerning the Company or its confidential data;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00"/>
          </w:cols>
          <w:pgMar w:left="1440" w:top="877" w:right="1059" w:bottom="1440" w:gutter="0" w:footer="0" w:header="0"/>
        </w:sectPr>
      </w:pPr>
    </w:p>
    <w:bookmarkStart w:id="183" w:name="page184"/>
    <w:bookmarkEnd w:id="183"/>
    <w:p>
      <w:pPr>
        <w:ind w:left="940" w:hanging="324"/>
        <w:spacing w:after="0"/>
        <w:tabs>
          <w:tab w:leader="none" w:pos="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layoffs, furloughs, bankruptcy, corporate restructuring or receivership, or the existence of severe liquidity problems.</w:t>
      </w:r>
    </w:p>
    <w:p>
      <w:pPr>
        <w:spacing w:after="0" w:line="225" w:lineRule="exact"/>
        <w:rPr>
          <w:sz w:val="20"/>
          <w:szCs w:val="20"/>
          <w:color w:val="auto"/>
        </w:rPr>
      </w:pPr>
    </w:p>
    <w:p>
      <w:pPr>
        <w:ind w:left="620" w:right="20"/>
        <w:spacing w:after="0" w:line="261" w:lineRule="auto"/>
        <w:rPr>
          <w:sz w:val="20"/>
          <w:szCs w:val="20"/>
          <w:color w:val="auto"/>
        </w:rPr>
      </w:pPr>
      <w:r>
        <w:rPr>
          <w:rFonts w:ascii="Times New Roman" w:cs="Times New Roman" w:eastAsia="Times New Roman" w:hAnsi="Times New Roman"/>
          <w:sz w:val="18"/>
          <w:szCs w:val="18"/>
          <w:color w:val="auto"/>
        </w:rPr>
        <w:t>Information that something is likely to happen or even just that it may happen can be Material. Courts often resolve close cases in favor of finding the information Material. Therefore, Insiders should err on the side of caution. Insiders should keep in mind that the rules and regulations of the SEC provide that the mere fact that a person is aware of the information is a bar to trading. It is no excuse that such person’s reasons for trading were unrelated to the information.</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Before determining whether specific information may be deemed Material, please contact a member of the Legal Department.</w:t>
      </w:r>
    </w:p>
    <w:p>
      <w:pPr>
        <w:spacing w:after="0" w:line="225" w:lineRule="exact"/>
        <w:rPr>
          <w:sz w:val="20"/>
          <w:szCs w:val="20"/>
          <w:color w:val="auto"/>
        </w:rPr>
      </w:pPr>
    </w:p>
    <w:p>
      <w:pPr>
        <w:ind w:left="620" w:right="46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For the purpose of this Policy, all Company information is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until three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criteria have been satisfied:</w:t>
      </w:r>
    </w:p>
    <w:p>
      <w:pPr>
        <w:spacing w:after="0" w:line="162"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8"/>
          <w:szCs w:val="18"/>
          <w:color w:val="auto"/>
        </w:rPr>
        <w:t>First, the information must have been widely disseminated by the Company. Generally, Insiders should assume that information has NOT been widely disseminated unless it has been disclosed by the Company in (i) a press release distributed through a widely disseminated news or wire service; (ii) a publicly available filing made with the SEC; or (iii) another manner compliant with Regulation FD (Fair Disclosure). For additional information regarding disclosures made in compliance with Regulation FD, please see the Company’s External Communications Policy.</w:t>
      </w:r>
    </w:p>
    <w:p>
      <w:pPr>
        <w:spacing w:after="0" w:line="183" w:lineRule="exact"/>
        <w:rPr>
          <w:sz w:val="20"/>
          <w:szCs w:val="20"/>
          <w:color w:val="auto"/>
        </w:rPr>
      </w:pPr>
    </w:p>
    <w:p>
      <w:pPr>
        <w:ind w:left="620" w:right="80"/>
        <w:spacing w:after="0" w:line="256" w:lineRule="auto"/>
        <w:rPr>
          <w:sz w:val="20"/>
          <w:szCs w:val="20"/>
          <w:color w:val="auto"/>
        </w:rPr>
      </w:pPr>
      <w:r>
        <w:rPr>
          <w:rFonts w:ascii="Times New Roman" w:cs="Times New Roman" w:eastAsia="Times New Roman" w:hAnsi="Times New Roman"/>
          <w:sz w:val="18"/>
          <w:szCs w:val="18"/>
          <w:color w:val="auto"/>
        </w:rPr>
        <w:t>Second, the information disseminated must be some form of “official” announcement or disclosure to the public, which, in the case of information about the Company, must be made by the Company. In other words, the fact that rumors, speculation, or statements attributed to unidentified sources are public is insufficient to be considered widely disseminated even when the rumors, speculation, or statements are accurate. Information that is available only to the Company’s employees, contractors, or other persons who owe a duty of confidentiality to the Company (including information that has been disclosed to the media under embargo) is to considered “Non-Public Information.”</w:t>
      </w:r>
    </w:p>
    <w:p>
      <w:pPr>
        <w:spacing w:after="0" w:line="187" w:lineRule="exact"/>
        <w:rPr>
          <w:sz w:val="20"/>
          <w:szCs w:val="20"/>
          <w:color w:val="auto"/>
        </w:rPr>
      </w:pPr>
    </w:p>
    <w:p>
      <w:pPr>
        <w:ind w:left="620" w:right="80"/>
        <w:spacing w:after="0" w:line="254" w:lineRule="auto"/>
        <w:rPr>
          <w:sz w:val="20"/>
          <w:szCs w:val="20"/>
          <w:color w:val="auto"/>
        </w:rPr>
      </w:pPr>
      <w:r>
        <w:rPr>
          <w:rFonts w:ascii="Times New Roman" w:cs="Times New Roman" w:eastAsia="Times New Roman" w:hAnsi="Times New Roman"/>
          <w:sz w:val="18"/>
          <w:szCs w:val="18"/>
          <w:color w:val="auto"/>
        </w:rPr>
        <w:t>Third, after the information has been disseminated, a period of time must pass sufficient for the information to be absorbed by the general public. As a general rule, information should not be considered fully absorbed until after at least one full trading session has elapsed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after the information has been publicly disclosed in a manner compliant with Regulation FD. For example, if the Company announces Material Non-Public Information before trading begins on Thursday, then you may execute a transaction in securities of the Company on Friday; if the Company announces Material Non-Public Information after trading ends on Thursday, then you may execute a transaction in securities of the Company on Monday. In addition, as discussed further below, even if you are not aware of any Material Non-Public Information, certain Insiders may only trade Company securities during specific Window Periods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20" w:top="877" w:right="1019" w:bottom="1440" w:gutter="0" w:footer="0" w:header="0"/>
        </w:sectPr>
      </w:pPr>
    </w:p>
    <w:bookmarkStart w:id="184" w:name="page185"/>
    <w:bookmarkEnd w:id="184"/>
    <w:p>
      <w:pPr>
        <w:ind w:left="660" w:right="1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means Permanent Restricted Persons and Other Restricted Persons, as those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terms are defined in Section 6.0.</w:t>
      </w:r>
    </w:p>
    <w:p>
      <w:pPr>
        <w:spacing w:after="0" w:line="162"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means members of the Company’s Board of Directors and the Company’s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“officers” (as defined in Rule 16a-1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designated by the Company from time to time.</w:t>
      </w:r>
    </w:p>
    <w:p>
      <w:pPr>
        <w:spacing w:after="0" w:line="176" w:lineRule="exact"/>
        <w:rPr>
          <w:sz w:val="20"/>
          <w:szCs w:val="20"/>
          <w:color w:val="auto"/>
        </w:rPr>
      </w:pPr>
    </w:p>
    <w:p>
      <w:pPr>
        <w:jc w:val="both"/>
        <w:ind w:left="660" w:right="3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Security or 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 defined very broadly by the securities laws and includes stock</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(common and preferred), stock options, warrants, bonds, notes, debentures, convertible instruments, put or call options (i.e., exchange-traded options) or other similar instruments.</w:t>
      </w:r>
    </w:p>
    <w:p>
      <w:pPr>
        <w:spacing w:after="0" w:line="176" w:lineRule="exact"/>
        <w:rPr>
          <w:sz w:val="20"/>
          <w:szCs w:val="20"/>
          <w:color w:val="auto"/>
        </w:rPr>
      </w:pPr>
    </w:p>
    <w:p>
      <w:pPr>
        <w:ind w:left="660" w:right="2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Trade or Trading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trade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means broadly any purchase, sale or other transaction to acquire, transfer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dispose of securities, including derivative exercises, gifts or other contributions, pledges, exercises of stock options granted under the Company’s stock plans, sales of stock acquired upon the exercise of options and trades made under an employee benefit plan such as a 401(k) plan.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b w:val="1"/>
          <w:bCs w:val="1"/>
          <w:u w:val="single" w:color="auto"/>
          <w:color w:val="auto"/>
        </w:rPr>
        <w:t>Statement of Policy</w:t>
      </w:r>
    </w:p>
    <w:p>
      <w:pPr>
        <w:spacing w:after="0" w:line="229" w:lineRule="exact"/>
        <w:rPr>
          <w:sz w:val="20"/>
          <w:szCs w:val="20"/>
          <w:color w:val="auto"/>
        </w:rPr>
      </w:pPr>
    </w:p>
    <w:p>
      <w:pPr>
        <w:ind w:left="660" w:right="4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General – Waystar</w:t>
      </w:r>
      <w:r>
        <w:rPr>
          <w:rFonts w:ascii="Times New Roman" w:cs="Times New Roman" w:eastAsia="Times New Roman" w:hAnsi="Times New Roman"/>
          <w:sz w:val="18"/>
          <w:szCs w:val="18"/>
          <w:color w:val="auto"/>
        </w:rPr>
        <w:t>. No Insider may trade the Company’s securities at any time when the Insider has Material Non-Public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concerning the Company. It is the responsibility of the Insider to be certain that he or she does not have material Non-Public Information when determining to trade. For certain limited exceptions from prohibitions of trading imposed by this Policy, see Section 5.0 below.</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committed to observing all applicable laws and regulations. It is the Company’s policy to have the Chief Legal Officer assesses any potential transactions involving the Company’s securities in which the Company may engage to ensure that such transactions will comply with all applicable securities laws and regulations, including, without limitation, those relating to the offering or repurchase of the Company’s securities.</w:t>
      </w:r>
    </w:p>
    <w:p>
      <w:pPr>
        <w:spacing w:after="0" w:line="180" w:lineRule="exact"/>
        <w:rPr>
          <w:sz w:val="20"/>
          <w:szCs w:val="20"/>
          <w:color w:val="auto"/>
        </w:rPr>
      </w:pPr>
    </w:p>
    <w:p>
      <w:pPr>
        <w:ind w:left="660" w:right="2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General – Other Companies</w:t>
      </w:r>
      <w:r>
        <w:rPr>
          <w:rFonts w:ascii="Times New Roman" w:cs="Times New Roman" w:eastAsia="Times New Roman" w:hAnsi="Times New Roman"/>
          <w:sz w:val="18"/>
          <w:szCs w:val="18"/>
          <w:color w:val="auto"/>
        </w:rPr>
        <w:t>. No Insider may trade securities of another company at any time when the Insider has Material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Non-Public Information about that company or its industry, including, without limitation, information about any of our customers, vendors, suppliers or partners, when that information was obtained, in whole or in part, as a result of the Insider’s employment or relationship to the Company.</w:t>
      </w:r>
    </w:p>
    <w:p>
      <w:pPr>
        <w:spacing w:after="0" w:line="180"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Tipping</w:t>
      </w:r>
      <w:r>
        <w:rPr>
          <w:rFonts w:ascii="Times New Roman" w:cs="Times New Roman" w:eastAsia="Times New Roman" w:hAnsi="Times New Roman"/>
          <w:sz w:val="18"/>
          <w:szCs w:val="18"/>
          <w:color w:val="auto"/>
        </w:rPr>
        <w:t>. No Insider may disclose (“</w:t>
      </w:r>
      <w:r>
        <w:rPr>
          <w:rFonts w:ascii="Times New Roman" w:cs="Times New Roman" w:eastAsia="Times New Roman" w:hAnsi="Times New Roman"/>
          <w:sz w:val="18"/>
          <w:szCs w:val="18"/>
          <w:u w:val="single" w:color="auto"/>
          <w:color w:val="auto"/>
        </w:rPr>
        <w:t>tip</w:t>
      </w:r>
      <w:r>
        <w:rPr>
          <w:rFonts w:ascii="Times New Roman" w:cs="Times New Roman" w:eastAsia="Times New Roman" w:hAnsi="Times New Roman"/>
          <w:sz w:val="18"/>
          <w:szCs w:val="18"/>
          <w:color w:val="auto"/>
        </w:rPr>
        <w:t>”) Material Non-Public Information to any other person (including family members),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 Insider may make trading recommendations on the basis of Material Non-Public Information. In addition, Insiders should take care before trading on the recommendation of others to ensure that the recommendation is not the result of an illegal “tip”.</w:t>
      </w:r>
    </w:p>
    <w:p>
      <w:pPr>
        <w:spacing w:after="0" w:line="176"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Public Comment</w:t>
      </w:r>
      <w:r>
        <w:rPr>
          <w:rFonts w:ascii="Times New Roman" w:cs="Times New Roman" w:eastAsia="Times New Roman" w:hAnsi="Times New Roman"/>
          <w:sz w:val="18"/>
          <w:szCs w:val="18"/>
          <w:color w:val="auto"/>
        </w:rPr>
        <w:t>. No Insider who receives or has access to the Company’s Material Non-Public Information may comment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stock price movements or rumors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85" w:name="page186"/>
    <w:bookmarkEnd w:id="185"/>
    <w:p>
      <w:pPr>
        <w:ind w:left="660"/>
        <w:spacing w:after="0" w:line="256" w:lineRule="auto"/>
        <w:rPr>
          <w:sz w:val="20"/>
          <w:szCs w:val="20"/>
          <w:color w:val="auto"/>
        </w:rPr>
      </w:pPr>
      <w:r>
        <w:rPr>
          <w:rFonts w:ascii="Times New Roman" w:cs="Times New Roman" w:eastAsia="Times New Roman" w:hAnsi="Times New Roman"/>
          <w:sz w:val="18"/>
          <w:szCs w:val="18"/>
          <w:color w:val="auto"/>
        </w:rPr>
        <w:t>corporate developments (including discussions on social media, blogs or online comment forums) that are of possible significance to the investing public unless it is part of the Insider’s job (such as Investor Relations) or the Insider has been specifically authorized in accordance with the Company’s External Communications Policy, which prohibits selective disclosure of Material Non-Public Information to market participants by persons acting on behalf of the Company. If you comment on corporate developments, stock price movements or rumors, or disclose Material Non-Public Information to a third party you must contact the Chief Legal Officer or their designee immediately.</w:t>
      </w:r>
    </w:p>
    <w:p>
      <w:pPr>
        <w:spacing w:after="0" w:line="187" w:lineRule="exact"/>
        <w:rPr>
          <w:sz w:val="20"/>
          <w:szCs w:val="20"/>
          <w:color w:val="auto"/>
        </w:rPr>
      </w:pPr>
    </w:p>
    <w:p>
      <w:pPr>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Media/Analyst Inquiries</w:t>
      </w:r>
      <w:r>
        <w:rPr>
          <w:rFonts w:ascii="Times New Roman" w:cs="Times New Roman" w:eastAsia="Times New Roman" w:hAnsi="Times New Roman"/>
          <w:sz w:val="18"/>
          <w:szCs w:val="18"/>
          <w:color w:val="auto"/>
        </w:rPr>
        <w:t>. In addition, it is generally the practice of the Company not to respond to inquiries and/or rumors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concerning the Company’s affairs. If you receive inquiries concerning the Company from the media or inquiries from securities analysts or other members of the financial community, you should follow the Company’s External Communications Policy and refer such inquiries, without comment, to the Chief Legal Officer, the head of Investor Relations or the Company’s Chief Financial Officer (or their respective designees).</w:t>
      </w:r>
    </w:p>
    <w:p>
      <w:pPr>
        <w:spacing w:after="0" w:line="183"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Window Periods</w:t>
      </w:r>
      <w:r>
        <w:rPr>
          <w:rFonts w:ascii="Times New Roman" w:cs="Times New Roman" w:eastAsia="Times New Roman" w:hAnsi="Times New Roman"/>
          <w:sz w:val="18"/>
          <w:szCs w:val="18"/>
          <w:color w:val="auto"/>
        </w:rPr>
        <w:t>. Even if you are not aware of any Material Non-Public Information, Insiders designated by the Chief Legal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 or their designee may only trade in the Company’s securities during the four Window Periods that occur each fiscal year or in connection with an SEC-registered primary or secondary underwritten offering of the Company and Restricted Persons must also receive pre-approval prior to any transaction involving the Company’s securities. Until the Chief Legal Officer or their designee determines otherwise, all Insiders will be subject to the restrictions of this Section 3.6. See Section 6.0. Notwithstanding the foregoing, an Insider may sell shares to generate cash to meet tax liabilities incurred by such person in connection with the vesting, settlement or exercise of an equity award granted under our equity incentive plans outside of a Window Period, so long as such Insider makes the election to sell such shares for such purposes during a Window Period when it otherwise has no Material Non-Public Information.</w:t>
      </w:r>
    </w:p>
    <w:p>
      <w:pPr>
        <w:spacing w:after="0" w:line="188" w:lineRule="exact"/>
        <w:rPr>
          <w:sz w:val="20"/>
          <w:szCs w:val="20"/>
          <w:color w:val="auto"/>
        </w:rPr>
      </w:pPr>
    </w:p>
    <w:p>
      <w:pPr>
        <w:ind w:left="660" w:right="8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Policy Effective Time</w:t>
      </w:r>
      <w:r>
        <w:rPr>
          <w:rFonts w:ascii="Times New Roman" w:cs="Times New Roman" w:eastAsia="Times New Roman" w:hAnsi="Times New Roman"/>
          <w:sz w:val="18"/>
          <w:szCs w:val="18"/>
          <w:color w:val="auto"/>
        </w:rPr>
        <w:t>. An Insider who is aware of Material Non-Public Information when they cease to be an Insider, may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trade in the Company’s securities until that information has become public or is no longer material. In addition, this Policy continues in effect for all Restricted Persons until the opening of the first Window Period after termination of employment or other relationship with the Company, except that, unless notified otherwise by the Company, the pre-clearance requirements set forth in Section 6.0 continue to apply to Permanent Restricted Persons for six months after the termination of their status as a Permanent Restricted Person. See Section 6.3. If you have specific questions regarding this Policy, what may constitute Material Non-Public Information or applicable law, please contact the Chief Legal Officer or their designee.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u w:val="single" w:color="auto"/>
          <w:color w:val="auto"/>
        </w:rPr>
        <w:t>Other Prohibited Transactions</w:t>
      </w:r>
    </w:p>
    <w:p>
      <w:pPr>
        <w:spacing w:after="0" w:line="229" w:lineRule="exact"/>
        <w:rPr>
          <w:sz w:val="20"/>
          <w:szCs w:val="20"/>
          <w:color w:val="auto"/>
        </w:rPr>
      </w:pPr>
    </w:p>
    <w:p>
      <w:pPr>
        <w:ind w:left="660" w:right="4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No Short Sales, Hedging or Speculative Transactions</w:t>
      </w:r>
      <w:r>
        <w:rPr>
          <w:rFonts w:ascii="Times New Roman" w:cs="Times New Roman" w:eastAsia="Times New Roman" w:hAnsi="Times New Roman"/>
          <w:sz w:val="18"/>
          <w:szCs w:val="18"/>
          <w:color w:val="auto"/>
        </w:rPr>
        <w:t>. No Insider, whether or not they possess Material Non-Public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may trade in options, warrants, puts and calls or similar instruments on the Company’s securities or sell such securities “short” (i.e.,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86" w:name="page187"/>
    <w:bookmarkEnd w:id="186"/>
    <w:p>
      <w:pPr>
        <w:ind w:left="660" w:right="60"/>
        <w:spacing w:after="0" w:line="258" w:lineRule="auto"/>
        <w:rPr>
          <w:sz w:val="20"/>
          <w:szCs w:val="20"/>
          <w:color w:val="auto"/>
        </w:rPr>
      </w:pPr>
      <w:r>
        <w:rPr>
          <w:rFonts w:ascii="Times New Roman" w:cs="Times New Roman" w:eastAsia="Times New Roman" w:hAnsi="Times New Roman"/>
          <w:sz w:val="18"/>
          <w:szCs w:val="18"/>
          <w:color w:val="auto"/>
        </w:rPr>
        <w:t>selling stock that is not owned and borrowing the shares to make delivery) or engage in speculative trading (e.g., “day-trading”) that is intended to take advantage of short-term price fluctuations. Such activities may put the personal gain of the Insider in conflict with the best interests of the Company and its securityholders or otherwise give the appearance of impropriety. In addition, no Insider may engage in any transactions (including variable forward contracts, equity swaps, collars and exchange funds) that are designed to hedge or offset any decrease in the market value of the Company’s equity securities.</w:t>
      </w:r>
    </w:p>
    <w:p>
      <w:pPr>
        <w:spacing w:after="0" w:line="183"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No Margin Accounts or Pledges</w:t>
      </w:r>
      <w:r>
        <w:rPr>
          <w:rFonts w:ascii="Times New Roman" w:cs="Times New Roman" w:eastAsia="Times New Roman" w:hAnsi="Times New Roman"/>
          <w:sz w:val="18"/>
          <w:szCs w:val="18"/>
          <w:color w:val="auto"/>
        </w:rPr>
        <w:t>. Securities purchased on margin may be sold by the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192" w:lineRule="exact"/>
        <w:rPr>
          <w:sz w:val="20"/>
          <w:szCs w:val="20"/>
          <w:color w:val="auto"/>
        </w:rPr>
      </w:pPr>
    </w:p>
    <w:p>
      <w:pPr>
        <w:ind w:left="660" w:right="500"/>
        <w:spacing w:after="0" w:line="266" w:lineRule="auto"/>
        <w:rPr>
          <w:sz w:val="20"/>
          <w:szCs w:val="20"/>
          <w:color w:val="auto"/>
        </w:rPr>
      </w:pPr>
      <w:r>
        <w:rPr>
          <w:rFonts w:ascii="Times New Roman" w:cs="Times New Roman" w:eastAsia="Times New Roman" w:hAnsi="Times New Roman"/>
          <w:sz w:val="18"/>
          <w:szCs w:val="18"/>
          <w:color w:val="auto"/>
        </w:rPr>
        <w:t>Therefore, no Insiders, whether or not in possession of Material Non-Public Information, may purchase the Company’s securities on margin, or borrow against any account in which the Company’s securities are held, or pledge the Company’s securities as collateral for a loan.</w:t>
      </w:r>
    </w:p>
    <w:p>
      <w:pPr>
        <w:spacing w:after="0" w:line="174" w:lineRule="exact"/>
        <w:rPr>
          <w:sz w:val="20"/>
          <w:szCs w:val="20"/>
          <w:color w:val="auto"/>
        </w:rPr>
      </w:pPr>
    </w:p>
    <w:p>
      <w:pPr>
        <w:ind w:left="660" w:right="4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Managed Accounts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If you have a managed account (where another person has been given discretion or authority to trade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without your prior approval), you must advise your broker or investment advisor not to trade in Company securities at any time.</w:t>
      </w:r>
    </w:p>
    <w:p>
      <w:pPr>
        <w:spacing w:after="0" w:line="160" w:lineRule="exact"/>
        <w:rPr>
          <w:sz w:val="20"/>
          <w:szCs w:val="20"/>
          <w:color w:val="auto"/>
        </w:rPr>
      </w:pPr>
    </w:p>
    <w:p>
      <w:pPr>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Standing or Limit Orders</w:t>
      </w:r>
      <w:r>
        <w:rPr>
          <w:rFonts w:ascii="Times New Roman" w:cs="Times New Roman" w:eastAsia="Times New Roman" w:hAnsi="Times New Roman"/>
          <w:sz w:val="18"/>
          <w:szCs w:val="18"/>
          <w:color w:val="auto"/>
        </w:rPr>
        <w:t>. Standing and limit orders (except standing and limit orders under approved rule 10b5-1 trading plans,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As a result, the Company generally discourages the use of standing or limit orders by Insiders. Any standing order or limit order placed by an Insider on the Company’s securities should be limited to a short duration, must comply with the restrictions and procedures outlined in this Policy (including any applicable Window Periods and pre-clearance requirements), and (except standing and limit orders under approved rule 10b5-1 trading plans) must be immediately revoked by the Insider upon acquisition of Material Non-Public Information or notice by the Company of a Special Blackout (as defined below) pursuant to Section 6.5.</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b w:val="1"/>
          <w:bCs w:val="1"/>
          <w:u w:val="single" w:color="auto"/>
          <w:color w:val="auto"/>
        </w:rPr>
        <w:t>Certain Limited Exceptions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prohibition on trading in the Company’s securities set forth in Section 3.0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does not apply to:</w:t>
      </w:r>
    </w:p>
    <w:p>
      <w:pPr>
        <w:spacing w:after="0" w:line="225" w:lineRule="exact"/>
        <w:rPr>
          <w:sz w:val="20"/>
          <w:szCs w:val="20"/>
          <w:color w:val="auto"/>
        </w:rPr>
      </w:pPr>
    </w:p>
    <w:p>
      <w:pPr>
        <w:ind w:left="980" w:right="36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shares to an entity that does not involve a change in the beneficial ownership of the shares (for example, to certain types of trusts of which you are the sole beneficiary during your lifetime);</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exercise of stock options to buy and hold the Company’s stock (and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sell) (including any net settled stock option exercise to buy and hold) under our equity incentive plans; </w:t>
      </w:r>
      <w:r>
        <w:rPr>
          <w:rFonts w:ascii="Times New Roman" w:cs="Times New Roman" w:eastAsia="Times New Roman" w:hAnsi="Times New Roman"/>
          <w:sz w:val="17"/>
          <w:szCs w:val="17"/>
          <w:i w:val="1"/>
          <w:iCs w:val="1"/>
          <w:color w:val="auto"/>
        </w:rPr>
        <w:t>however,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u w:val="single" w:color="auto"/>
          <w:color w:val="auto"/>
        </w:rPr>
        <w:t>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any such stock acquired upon such 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including as part of a broker-assisted cashless exercise of an option or any other market </w:t>
      </w:r>
      <w:r>
        <w:rPr>
          <w:rFonts w:ascii="Times New Roman" w:cs="Times New Roman" w:eastAsia="Times New Roman" w:hAnsi="Times New Roman"/>
          <w:sz w:val="17"/>
          <w:szCs w:val="17"/>
          <w:b w:val="1"/>
          <w:bCs w:val="1"/>
          <w:i w:val="1"/>
          <w:iCs w:val="1"/>
          <w:u w:val="single" w:color="auto"/>
          <w:color w:val="auto"/>
        </w:rPr>
        <w:t>sale</w:t>
      </w:r>
      <w:r>
        <w:rPr>
          <w:rFonts w:ascii="Times New Roman" w:cs="Times New Roman" w:eastAsia="Times New Roman" w:hAnsi="Times New Roman"/>
          <w:sz w:val="17"/>
          <w:szCs w:val="17"/>
          <w:i w:val="1"/>
          <w:iCs w:val="1"/>
          <w:color w:val="auto"/>
        </w:rPr>
        <w:t xml:space="preserve"> for the purpose of generating the cash needed to pay the exercise price of an option or to satisfy tax withholding requirements, is subject to this Policy;</w:t>
      </w:r>
    </w:p>
    <w:p>
      <w:pPr>
        <w:spacing w:after="0" w:line="165" w:lineRule="exact"/>
        <w:rPr>
          <w:rFonts w:ascii="Times New Roman" w:cs="Times New Roman" w:eastAsia="Times New Roman" w:hAnsi="Times New Roman"/>
          <w:sz w:val="17"/>
          <w:szCs w:val="17"/>
          <w:color w:val="auto"/>
        </w:rPr>
      </w:pPr>
    </w:p>
    <w:p>
      <w:pPr>
        <w:ind w:left="980" w:right="140" w:hanging="324"/>
        <w:spacing w:after="0" w:line="261"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withholding by the Company (whether mandated by the Company or pursuant to a tax withholding right) of shares of restricted stock, shares underlying restricted stock units or shares subject to an option, in each case to satisfy tax withholding requirements; </w:t>
      </w:r>
      <w:r>
        <w:rPr>
          <w:rFonts w:ascii="Times New Roman" w:cs="Times New Roman" w:eastAsia="Times New Roman" w:hAnsi="Times New Roman"/>
          <w:sz w:val="18"/>
          <w:szCs w:val="18"/>
          <w:i w:val="1"/>
          <w:iCs w:val="1"/>
          <w:color w:val="auto"/>
        </w:rPr>
        <w:t>however, any voluntary elections by an Insider with respect to such tax withholding are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this Policy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transactions pursuant to a trading plan that complies with SEC Rule 10b5-1 and which has been approved by the Company (see Section 7.3);</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Company’s securities as a selling stockholder in a registered public offering in accordance with applicable securities laws;</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mutual funds and Exchange Traded Funds holding Company securities at any time, that are either based on broad indexes, such as Standard &amp; Poor’s or Nasdaq, or on targeted sectors with portfolio holdings of at least 30 or more companies;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89" w:lineRule="auto"/>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the Company offers its securities as an investment option in the Company’s 401(k) plan, the purchase of stock through the Company’s 401(k) plan through regular payroll deductions; </w:t>
      </w:r>
      <w:r>
        <w:rPr>
          <w:rFonts w:ascii="Times New Roman" w:cs="Times New Roman" w:eastAsia="Times New Roman" w:hAnsi="Times New Roman"/>
          <w:sz w:val="17"/>
          <w:szCs w:val="17"/>
          <w:i w:val="1"/>
          <w:iCs w:val="1"/>
          <w:color w:val="auto"/>
        </w:rPr>
        <w:t>however, the sale of any such stock and the 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transfer funds into or out of, or a loan with respect to amounts invested in, the stock fund is subject to this Policy</w:t>
      </w:r>
      <w:r>
        <w:rPr>
          <w:rFonts w:ascii="Times New Roman" w:cs="Times New Roman" w:eastAsia="Times New Roman" w:hAnsi="Times New Roman"/>
          <w:sz w:val="17"/>
          <w:szCs w:val="17"/>
          <w:color w:val="auto"/>
        </w:rPr>
        <w:t>; or</w:t>
      </w:r>
    </w:p>
    <w:p>
      <w:pPr>
        <w:spacing w:after="0" w:line="157" w:lineRule="exact"/>
        <w:rPr>
          <w:rFonts w:ascii="Times New Roman" w:cs="Times New Roman" w:eastAsia="Times New Roman" w:hAnsi="Times New Roman"/>
          <w:sz w:val="17"/>
          <w:szCs w:val="17"/>
          <w:color w:val="auto"/>
        </w:rPr>
      </w:pPr>
    </w:p>
    <w:p>
      <w:pPr>
        <w:jc w:val="both"/>
        <w:ind w:left="980" w:right="80" w:hanging="324"/>
        <w:spacing w:after="0" w:line="261"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Company offers its securities as an investment option in an employee stock purchase plan, the purchase of stock through the Company’s employee stock purchase plan; </w:t>
      </w:r>
      <w:r>
        <w:rPr>
          <w:rFonts w:ascii="Times New Roman" w:cs="Times New Roman" w:eastAsia="Times New Roman" w:hAnsi="Times New Roman"/>
          <w:sz w:val="18"/>
          <w:szCs w:val="18"/>
          <w:i w:val="1"/>
          <w:iCs w:val="1"/>
          <w:color w:val="auto"/>
        </w:rPr>
        <w:t>however, elections to participate in such plan, the sale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stock and changing instructions regarding the level of withholding contributions which are used to purchase stock is subject to this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b w:val="1"/>
          <w:bCs w:val="1"/>
          <w:u w:val="single" w:color="auto"/>
          <w:color w:val="auto"/>
        </w:rPr>
        <w:t>Pre-clearance of Trades and Other Procedures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Permanent Restricted Persons</w:t>
      </w:r>
      <w:r>
        <w:rPr>
          <w:rFonts w:ascii="Times New Roman" w:cs="Times New Roman" w:eastAsia="Times New Roman" w:hAnsi="Times New Roman"/>
          <w:sz w:val="18"/>
          <w:szCs w:val="18"/>
          <w:color w:val="auto"/>
        </w:rPr>
        <w:t>. The following are “</w:t>
      </w:r>
      <w:r>
        <w:rPr>
          <w:rFonts w:ascii="Times New Roman" w:cs="Times New Roman" w:eastAsia="Times New Roman" w:hAnsi="Times New Roman"/>
          <w:sz w:val="18"/>
          <w:szCs w:val="18"/>
          <w:u w:val="single" w:color="auto"/>
          <w:color w:val="auto"/>
        </w:rPr>
        <w:t>Permanent Restricted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Persons;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88" w:name="page189"/>
    <w:bookmarkEnd w:id="188"/>
    <w:p>
      <w:pPr>
        <w:ind w:left="1280" w:right="140" w:hanging="320"/>
        <w:spacing w:after="0" w:line="261" w:lineRule="auto"/>
        <w:tabs>
          <w:tab w:leader="none" w:pos="1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lives in the household whether or not a family member, and any of their family members who do not live in their household but whose transactions in Company securities they direct, influence, or control (e.g., parents or children who consult with Company Personnel before they trade in Company securities), and trusts, corporations and other entities controlled by any of such persons.</w:t>
      </w:r>
    </w:p>
    <w:p>
      <w:pPr>
        <w:spacing w:after="0" w:line="180" w:lineRule="exact"/>
        <w:rPr>
          <w:sz w:val="20"/>
          <w:szCs w:val="20"/>
          <w:color w:val="auto"/>
        </w:rPr>
      </w:pPr>
    </w:p>
    <w:p>
      <w:pPr>
        <w:ind w:left="640" w:right="40"/>
        <w:spacing w:after="0" w:line="258" w:lineRule="auto"/>
        <w:rPr>
          <w:sz w:val="20"/>
          <w:szCs w:val="20"/>
          <w:color w:val="auto"/>
        </w:rPr>
      </w:pPr>
      <w:r>
        <w:rPr>
          <w:rFonts w:ascii="Times New Roman" w:cs="Times New Roman" w:eastAsia="Times New Roman" w:hAnsi="Times New Roman"/>
          <w:sz w:val="18"/>
          <w:szCs w:val="18"/>
          <w:color w:val="auto"/>
        </w:rPr>
        <w:t>Restricted Persons must obtain the advance approval of the Chief Legal Officer or their designee in accordance with Section 6.3 before effecting trades of, or engaging in other transactions in, the Company’s securities, including, but not limited to, any purchase or sale, any exercise of an option (whether cashless or otherwise), gifts, loans, rights or warrant to purchase or sell such securities, contribution to a trust or other transfers, whether the transaction is for the individual’s own account, one over which they exercise control or one in which they have a beneficial interest.</w:t>
      </w:r>
    </w:p>
    <w:p>
      <w:pPr>
        <w:spacing w:after="0" w:line="183"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Other Restricted Persons</w:t>
      </w:r>
      <w:r>
        <w:rPr>
          <w:rFonts w:ascii="Times New Roman" w:cs="Times New Roman" w:eastAsia="Times New Roman" w:hAnsi="Times New Roman"/>
          <w:sz w:val="18"/>
          <w:szCs w:val="18"/>
          <w:color w:val="auto"/>
        </w:rPr>
        <w:t>. From time to time, the Company will notify persons other than Permanent Restricted Persons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they are subject to the pre-clearance requirements set forth in Section 6.3 if the Company believes that, in the normal course of their duties, they are likely to have regular access to Material Non-Public Information (“</w:t>
      </w:r>
      <w:r>
        <w:rPr>
          <w:rFonts w:ascii="Times New Roman" w:cs="Times New Roman" w:eastAsia="Times New Roman" w:hAnsi="Times New Roman"/>
          <w:sz w:val="18"/>
          <w:szCs w:val="18"/>
          <w:u w:val="single" w:color="auto"/>
          <w:color w:val="auto"/>
        </w:rPr>
        <w:t>Other Restricted Persons</w:t>
      </w:r>
      <w:r>
        <w:rPr>
          <w:rFonts w:ascii="Times New Roman" w:cs="Times New Roman" w:eastAsia="Times New Roman" w:hAnsi="Times New Roman"/>
          <w:sz w:val="18"/>
          <w:szCs w:val="18"/>
          <w:color w:val="auto"/>
        </w:rPr>
        <w:t>”). Examples of such persons include members of the business development, finance, legal, corporate development, and strategy departments and their households (including any person who lives in the household whether or not a family member), and any of their family members who do not live in their household but whose transactions in Company securities they direct, influence, or control (e.g., parents or children who consult with Company Personnel before they trade in Company securities), and trusts, corporations and other entities controlled by any of such persons.</w:t>
      </w:r>
    </w:p>
    <w:p>
      <w:pPr>
        <w:spacing w:after="0" w:line="192"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Occasionally, certain individuals may have access to Material Non-Public Information for a limited period of time. During such a period, such persons may be notified that they are also Other Restricted Persons who will be subject to the pre-clearance requirements set forth in Section 6.3 and the Window Period restrictions set forth in Section 6.4. Any person notified of their status as an Other Restricted Person will remain an Other Restricted Person subject to the pre-clearance requirements set forth in Section 6.3 unless otherwise notified by the Chief Legal Officer or their designee.</w:t>
      </w:r>
    </w:p>
    <w:p>
      <w:pPr>
        <w:spacing w:after="0" w:line="183"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Pre-Clearance Procedures</w:t>
      </w:r>
      <w:r>
        <w:rPr>
          <w:rFonts w:ascii="Times New Roman" w:cs="Times New Roman" w:eastAsia="Times New Roman" w:hAnsi="Times New Roman"/>
          <w:sz w:val="18"/>
          <w:szCs w:val="18"/>
          <w:color w:val="auto"/>
        </w:rPr>
        <w:t>. Subject to Section 7.0, Restricted Persons must submit a request for pre-clearance to the Chief Legal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Officer or their designee at least two business days in advance of the proposed transaction and by completing the attached “Request for Approval” form. Approval must be in writing, dated and signed, specifying the securities involved. </w:t>
      </w:r>
      <w:r>
        <w:rPr>
          <w:rFonts w:ascii="Times New Roman" w:cs="Times New Roman" w:eastAsia="Times New Roman" w:hAnsi="Times New Roman"/>
          <w:sz w:val="18"/>
          <w:szCs w:val="18"/>
          <w:b w:val="1"/>
          <w:bCs w:val="1"/>
          <w:color w:val="auto"/>
        </w:rPr>
        <w:t>Approval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transactions will generally be granted only during a Window Period (described in Section 6.4 below) and the transaction may only be performed during the Window Period in which the approval was granted and in any event within two business days from the date of approval,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b w:val="1"/>
          <w:bCs w:val="1"/>
          <w:color w:val="auto"/>
        </w:rPr>
        <w:t xml:space="preserve"> that notwithstanding receipt of pre-clearance, you may not trade in Company securities if you subsequently become aware of Material Non-Public Information prior to effecting the transaction. </w:t>
      </w:r>
      <w:r>
        <w:rPr>
          <w:rFonts w:ascii="Times New Roman" w:cs="Times New Roman" w:eastAsia="Times New Roman" w:hAnsi="Times New Roman"/>
          <w:sz w:val="18"/>
          <w:szCs w:val="18"/>
          <w:color w:val="auto"/>
        </w:rPr>
        <w:t>Approval for transactions by Section 16 Persons to purchase or sell the Company’s securities shall generally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granted within four business days before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7" w:right="999" w:bottom="1440" w:gutter="0" w:footer="0" w:header="0"/>
        </w:sectPr>
      </w:pPr>
    </w:p>
    <w:bookmarkStart w:id="189" w:name="page190"/>
    <w:bookmarkEnd w:id="189"/>
    <w:p>
      <w:pPr>
        <w:ind w:left="580" w:right="100"/>
        <w:spacing w:after="0" w:line="266" w:lineRule="auto"/>
        <w:rPr>
          <w:sz w:val="20"/>
          <w:szCs w:val="20"/>
          <w:color w:val="auto"/>
        </w:rPr>
      </w:pPr>
      <w:r>
        <w:rPr>
          <w:rFonts w:ascii="Times New Roman" w:cs="Times New Roman" w:eastAsia="Times New Roman" w:hAnsi="Times New Roman"/>
          <w:sz w:val="18"/>
          <w:szCs w:val="18"/>
          <w:color w:val="auto"/>
        </w:rPr>
        <w:t>after the Company’s announcement of a security repurchase plan or program. Unless otherwise notified by the Company, Permanent Restricted Persons must comply with these pre-clearance requirements for six months after the termination of their status as a Permanent Restricted Person.</w:t>
      </w:r>
    </w:p>
    <w:p>
      <w:pPr>
        <w:spacing w:after="0" w:line="176" w:lineRule="exact"/>
        <w:rPr>
          <w:sz w:val="20"/>
          <w:szCs w:val="20"/>
          <w:color w:val="auto"/>
        </w:rPr>
      </w:pPr>
    </w:p>
    <w:p>
      <w:pPr>
        <w:ind w:left="580" w:right="40" w:hanging="647"/>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Window Periods</w:t>
      </w:r>
      <w:r>
        <w:rPr>
          <w:rFonts w:ascii="Times New Roman" w:cs="Times New Roman" w:eastAsia="Times New Roman" w:hAnsi="Times New Roman"/>
          <w:sz w:val="18"/>
          <w:szCs w:val="18"/>
          <w:color w:val="auto"/>
        </w:rPr>
        <w:t>. The Company has established four “windows” of time during the fiscal year (“</w:t>
      </w:r>
      <w:r>
        <w:rPr>
          <w:rFonts w:ascii="Times New Roman" w:cs="Times New Roman" w:eastAsia="Times New Roman" w:hAnsi="Times New Roman"/>
          <w:sz w:val="18"/>
          <w:szCs w:val="18"/>
          <w:u w:val="single" w:color="auto"/>
          <w:color w:val="auto"/>
        </w:rPr>
        <w:t>Window Periods</w:t>
      </w:r>
      <w:r>
        <w:rPr>
          <w:rFonts w:ascii="Times New Roman" w:cs="Times New Roman" w:eastAsia="Times New Roman" w:hAnsi="Times New Roman"/>
          <w:sz w:val="18"/>
          <w:szCs w:val="18"/>
          <w:color w:val="auto"/>
        </w:rPr>
        <w:t>”) during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Request for Approval forms may be approved and trading may be performed by Restricted Persons. Each Window Period begins after one full trading session on the Nasdaq has been completed after the Company makes a public news release of its quarterly or annual earnings for the prior fiscal quarter or year. Assuming the Nasdaq is open each day, the following indicates when such persons may trade after the Company’s public news release of its quarterly or annual earnings for the prior fiscal quarter or year: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Announcement on Tuesday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First Day of Trading</w:t>
            </w:r>
          </w:p>
        </w:tc>
      </w:tr>
      <w:tr>
        <w:trPr>
          <w:trHeight w:val="191"/>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Before market opens</w:t>
            </w:r>
          </w:p>
        </w:tc>
        <w:tc>
          <w:tcPr>
            <w:tcW w:w="240" w:type="dxa"/>
            <w:vAlign w:val="bottom"/>
          </w:tcPr>
          <w:p>
            <w:pPr>
              <w:spacing w:after="0"/>
              <w:rPr>
                <w:sz w:val="16"/>
                <w:szCs w:val="16"/>
                <w:color w:val="auto"/>
              </w:rPr>
            </w:pP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Wednesday</w:t>
            </w: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While market is open</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After market closes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bl>
    <w:p>
      <w:pPr>
        <w:spacing w:after="0" w:line="198"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That same Window Period will generally close on the eighth day of the last calendar month of the then current calendar quarter. After the close of the Window Period, except as set forth in Section 5.0 above, Restricted Persons may not trade in any of the Company’s securities at least until the start of the next Window Period. 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Company’s securities. You must consult the Chief Legal Officer or their designee whenever you are in doubt.</w:t>
      </w:r>
    </w:p>
    <w:p>
      <w:pPr>
        <w:spacing w:after="0" w:line="189" w:lineRule="exact"/>
        <w:rPr>
          <w:sz w:val="20"/>
          <w:szCs w:val="20"/>
          <w:color w:val="auto"/>
        </w:rPr>
      </w:pPr>
    </w:p>
    <w:p>
      <w:pPr>
        <w:ind w:left="580" w:right="120" w:hanging="647"/>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Special Blackouts</w:t>
      </w:r>
      <w:r>
        <w:rPr>
          <w:rFonts w:ascii="Times New Roman" w:cs="Times New Roman" w:eastAsia="Times New Roman" w:hAnsi="Times New Roman"/>
          <w:sz w:val="18"/>
          <w:szCs w:val="18"/>
          <w:color w:val="auto"/>
        </w:rPr>
        <w:t>. From time to time, the Company may require that directors, officers, selected employees and/or others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prohibited from trading in the Company’s securities for a period of time, including during a Window Period, regardless of any other provision of this Policy because of developments that have not yet been disclosed to the public (such period of time, a “</w:t>
      </w:r>
      <w:r>
        <w:rPr>
          <w:rFonts w:ascii="Times New Roman" w:cs="Times New Roman" w:eastAsia="Times New Roman" w:hAnsi="Times New Roman"/>
          <w:sz w:val="18"/>
          <w:szCs w:val="18"/>
          <w:u w:val="single" w:color="auto"/>
          <w:color w:val="auto"/>
        </w:rPr>
        <w:t>Special Blackout</w:t>
      </w:r>
      <w:r>
        <w:rPr>
          <w:rFonts w:ascii="Times New Roman" w:cs="Times New Roman" w:eastAsia="Times New Roman" w:hAnsi="Times New Roman"/>
          <w:sz w:val="18"/>
          <w:szCs w:val="18"/>
          <w:color w:val="auto"/>
        </w:rPr>
        <w:t xml:space="preserve">”. If the Company declares a Special Blackout to which you are subject, then a member of the Legal Department will notify you when the Special Blackout begins and when it ends. </w:t>
      </w:r>
      <w:r>
        <w:rPr>
          <w:rFonts w:ascii="Times New Roman" w:cs="Times New Roman" w:eastAsia="Times New Roman" w:hAnsi="Times New Roman"/>
          <w:sz w:val="18"/>
          <w:szCs w:val="18"/>
          <w:i w:val="1"/>
          <w:iCs w:val="1"/>
          <w:color w:val="auto"/>
        </w:rPr>
        <w:t>All those affected shall not trade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securities while the suspension is in effect, and shall not disclose to others inside or outside the Company that trading has been suspended for certain individuals</w:t>
      </w:r>
      <w:r>
        <w:rPr>
          <w:rFonts w:ascii="Times New Roman" w:cs="Times New Roman" w:eastAsia="Times New Roman" w:hAnsi="Times New Roman"/>
          <w:sz w:val="18"/>
          <w:szCs w:val="18"/>
          <w:color w:val="auto"/>
        </w:rPr>
        <w:t>. Although these Special Blackouts generally will arise because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involved in a highly-sensitive transaction, incident or event, they may be declared for any reason.</w:t>
      </w:r>
    </w:p>
    <w:p>
      <w:pPr>
        <w:spacing w:after="0" w:line="192" w:lineRule="exact"/>
        <w:rPr>
          <w:sz w:val="20"/>
          <w:szCs w:val="20"/>
          <w:color w:val="auto"/>
        </w:rPr>
      </w:pPr>
    </w:p>
    <w:p>
      <w:pPr>
        <w:ind w:left="580" w:right="40" w:hanging="647"/>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Notification of Window Periods</w:t>
      </w:r>
      <w:r>
        <w:rPr>
          <w:rFonts w:ascii="Times New Roman" w:cs="Times New Roman" w:eastAsia="Times New Roman" w:hAnsi="Times New Roman"/>
          <w:sz w:val="18"/>
          <w:szCs w:val="18"/>
          <w:color w:val="auto"/>
        </w:rPr>
        <w:t>. In order to assist you in complying with this Policy, the Company will endeavor to deliver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e-mail (or other communication) notifying all Restricted Persons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060" w:top="877" w:right="1079" w:bottom="1440" w:gutter="0" w:footer="0" w:header="0"/>
        </w:sectPr>
      </w:pPr>
    </w:p>
    <w:bookmarkStart w:id="190" w:name="page191"/>
    <w:bookmarkEnd w:id="190"/>
    <w:p>
      <w:pPr>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Hardship Exemptions</w:t>
      </w:r>
      <w:r>
        <w:rPr>
          <w:rFonts w:ascii="Times New Roman" w:cs="Times New Roman" w:eastAsia="Times New Roman" w:hAnsi="Times New Roman"/>
          <w:sz w:val="18"/>
          <w:szCs w:val="18"/>
          <w:color w:val="auto"/>
        </w:rPr>
        <w:t>. Those subject to the Window Periods or a Special Blackout pursuant to Section 6.5 may request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hardship exemption for periods outside the Window Periods or during a blackout, as applicable, if they are not in possession of Material Non-Public Information and are not otherwise prohibited from trading pursuant to this Policy. In addition, Permanent Restricted Persons may request a hardship exemption from the requirements set forth in Section 6.8 below to permit their trading outside of a 10b5-1 trading plan during open Window Periods, if they are not subject to a blackout, are not in possession of Material Non-Public Information and are not otherwise prohibited from trading pursuant to this Policy. Hardship exemptions are granted infrequently and only in exceptional circumstances. Any request for a hardship exemption should be made to the Chief Legal Officer (or their designee).</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u w:val="single" w:color="auto"/>
          <w:color w:val="auto"/>
        </w:rPr>
        <w:t>Additional Restrictions on Permanent Restricted Persons</w:t>
      </w:r>
      <w:r>
        <w:rPr>
          <w:rFonts w:ascii="Times New Roman" w:cs="Times New Roman" w:eastAsia="Times New Roman" w:hAnsi="Times New Roman"/>
          <w:sz w:val="18"/>
          <w:szCs w:val="18"/>
          <w:color w:val="auto"/>
        </w:rPr>
        <w:t>. Permanent Restricted Persons may only trade under a pre-approved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10b5-1 trading plan, as outlined in Section 7.0 below, except under the following circumstances:</w:t>
      </w:r>
    </w:p>
    <w:p>
      <w:pPr>
        <w:spacing w:after="0" w:line="207" w:lineRule="exact"/>
        <w:rPr>
          <w:sz w:val="20"/>
          <w:szCs w:val="20"/>
          <w:color w:val="auto"/>
        </w:rPr>
      </w:pPr>
    </w:p>
    <w:p>
      <w:pPr>
        <w:ind w:left="1300" w:right="420" w:hanging="320"/>
        <w:spacing w:after="0" w:line="282"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described under Section 5.0 above as an exception to the prohibitions on trading contained in this Policy;</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shares to generate cash to meet tax liabilities incurred by such person in connection with the vesting, settlement or exercise of an equity award granted under our equity incentive plans;</w:t>
      </w:r>
    </w:p>
    <w:p>
      <w:pPr>
        <w:spacing w:after="0" w:line="159" w:lineRule="exact"/>
        <w:rPr>
          <w:rFonts w:ascii="Times New Roman" w:cs="Times New Roman" w:eastAsia="Times New Roman" w:hAnsi="Times New Roman"/>
          <w:sz w:val="18"/>
          <w:szCs w:val="18"/>
          <w:color w:val="auto"/>
        </w:rPr>
      </w:pPr>
    </w:p>
    <w:p>
      <w:pPr>
        <w:ind w:left="1300" w:right="80" w:hanging="320"/>
        <w:spacing w:after="0" w:line="267"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broker-assisted cashless exercise of an option granted under our equity incentive plans, </w:t>
      </w:r>
      <w:r>
        <w:rPr>
          <w:rFonts w:ascii="Times New Roman" w:cs="Times New Roman" w:eastAsia="Times New Roman" w:hAnsi="Times New Roman"/>
          <w:sz w:val="18"/>
          <w:szCs w:val="18"/>
          <w:i w:val="1"/>
          <w:iCs w:val="1"/>
          <w:color w:val="auto"/>
        </w:rPr>
        <w:t>provided that the 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shares acquired pursuant to such exercise in excess of those required to pay the exercise price shall not be exempt under this Section 6.8</w:t>
      </w:r>
      <w:r>
        <w:rPr>
          <w:rFonts w:ascii="Times New Roman" w:cs="Times New Roman" w:eastAsia="Times New Roman" w:hAnsi="Times New Roman"/>
          <w:sz w:val="18"/>
          <w:szCs w:val="18"/>
          <w:color w:val="auto"/>
        </w:rPr>
        <w:t>; and</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gifting of shares, </w:t>
      </w:r>
      <w:r>
        <w:rPr>
          <w:rFonts w:ascii="Times New Roman" w:cs="Times New Roman" w:eastAsia="Times New Roman" w:hAnsi="Times New Roman"/>
          <w:sz w:val="18"/>
          <w:szCs w:val="18"/>
          <w:i w:val="1"/>
          <w:iCs w:val="1"/>
          <w:color w:val="auto"/>
        </w:rPr>
        <w:t>provided that such transaction will otherwise be subject to this Policy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7"/>
          <w:szCs w:val="17"/>
          <w:color w:val="auto"/>
        </w:rPr>
        <w:t>Permanent Restricted Persons who are permitted to trade outside of a pre-approved 10b5-1 trading plan pursuant to Sections 6.7, 6.8(ii), or 6.8(iii) above must comply with all of the pre-clearance and other requirements relating to Restricted Persons set forth in this Section 6.8. In addition, Permanent Restricted Persons must comply with such pre-clearance and other requirements relating to Restricted Persons for six months after the termination of their status as a Permanent Restricted Person.</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b w:val="1"/>
          <w:bCs w:val="1"/>
          <w:u w:val="single" w:color="auto"/>
          <w:color w:val="auto"/>
        </w:rPr>
        <w:t>10b5-1 and Other Trading Plans</w:t>
      </w:r>
    </w:p>
    <w:p>
      <w:pPr>
        <w:spacing w:after="0" w:line="229" w:lineRule="exact"/>
        <w:rPr>
          <w:sz w:val="20"/>
          <w:szCs w:val="20"/>
          <w:color w:val="auto"/>
        </w:rPr>
      </w:pPr>
    </w:p>
    <w:p>
      <w:pPr>
        <w:ind w:left="660" w:right="1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10b5-1 Trading Plans</w:t>
      </w:r>
      <w:r>
        <w:rPr>
          <w:rFonts w:ascii="Times New Roman" w:cs="Times New Roman" w:eastAsia="Times New Roman" w:hAnsi="Times New Roman"/>
          <w:sz w:val="18"/>
          <w:szCs w:val="18"/>
          <w:color w:val="auto"/>
        </w:rPr>
        <w:t>. SEC Rule 10b5-1 provides generally that a purchase or sale is “on the basis” of Material Non-Public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if the person engaging in the transaction is aware of the Material Non-Public Information when the person makes the purchase or sale.</w:t>
      </w:r>
    </w:p>
    <w:p>
      <w:pPr>
        <w:spacing w:after="0" w:line="176"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10b5-1(c) under the Exchange Act,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191" w:name="page192"/>
    <w:bookmarkEnd w:id="191"/>
    <w:p>
      <w:pPr>
        <w:ind w:left="660"/>
        <w:spacing w:after="0" w:line="258" w:lineRule="auto"/>
        <w:rPr>
          <w:sz w:val="20"/>
          <w:szCs w:val="20"/>
          <w:color w:val="auto"/>
        </w:rPr>
      </w:pPr>
      <w:r>
        <w:rPr>
          <w:rFonts w:ascii="Times New Roman" w:cs="Times New Roman" w:eastAsia="Times New Roman" w:hAnsi="Times New Roman"/>
          <w:sz w:val="18"/>
          <w:szCs w:val="18"/>
          <w:color w:val="auto"/>
        </w:rPr>
        <w:t>the “cooling off” periods specified thereunder. A 10b5-1 trading plan can only be established when you do not possess Material Non-Public Information. Therefore, Insiders cannot enter into these plans at any time when in possession of Material Non-Public Information and, in addition, Restricted Persons cannot enter into these plans outside Window Periods. In addition, a 10b5-1 trading plan must not permit you to exercise any subsequent influence over how, when, or whether the purchases or sales are made.</w:t>
      </w:r>
    </w:p>
    <w:p>
      <w:pPr>
        <w:spacing w:after="0" w:line="183"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The 10b5-1 trading plan must also be entered into in good faith and without any purpose of evading the prohibitions of the SEC’s rules and the person who entered into such plan must act in good faith with respect to the plan. In some circumstances, terminating a 10b5-1 trading plan that is in place could call into question whether it was entered into in good faith.</w:t>
      </w:r>
    </w:p>
    <w:p>
      <w:pPr>
        <w:spacing w:after="0" w:line="176" w:lineRule="exact"/>
        <w:rPr>
          <w:sz w:val="20"/>
          <w:szCs w:val="20"/>
          <w:color w:val="auto"/>
        </w:rPr>
      </w:pPr>
    </w:p>
    <w:p>
      <w:pPr>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Any proposed trading plan or arrangement by Insiders, including 10b5-1 trading plans, must be pre-approved by the Chief Legal Officer prior to establishing, amending or terminating such plan. The Company reserves the right to withhold approval of the adoption, amendment or termination of any such trading plan that the Company determines is not consistent with the rules regarding such plans. No Insider will be permitted to adopt a Rule 10b5-1 trading plan if such Insider has an existing contract, instruction or plan that would qualify for the affirmative defense under Rule 10b5-1(c), subject to the exceptions set forth in the rule. Notwithstanding any approval of a Rule 10b5-1 or other trading plan, the Company assumes no liability for the consequences of any transaction made pursuant to such plan.</w:t>
      </w:r>
    </w:p>
    <w:p>
      <w:pPr>
        <w:spacing w:after="0" w:line="189" w:lineRule="exact"/>
        <w:rPr>
          <w:sz w:val="20"/>
          <w:szCs w:val="20"/>
          <w:color w:val="auto"/>
        </w:rPr>
      </w:pPr>
    </w:p>
    <w:p>
      <w:pPr>
        <w:ind w:left="660" w:right="4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Under this Policy, unless such requirement is waived or modified by the Chief Legal Officer or their designee in their sole discretion, a properly adopted 10b5-1 trading plan must satisfy the below requirements, in addition to any regulatory requirements:</w:t>
      </w:r>
    </w:p>
    <w:p>
      <w:pPr>
        <w:spacing w:after="0" w:line="176" w:lineRule="exact"/>
        <w:rPr>
          <w:sz w:val="20"/>
          <w:szCs w:val="20"/>
          <w:color w:val="auto"/>
        </w:rPr>
      </w:pPr>
    </w:p>
    <w:p>
      <w:pPr>
        <w:ind w:left="980" w:hanging="324"/>
        <w:spacing w:after="0"/>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spans at least six months and no more than two years; and</w:t>
      </w:r>
    </w:p>
    <w:p>
      <w:pPr>
        <w:spacing w:after="0" w:line="184"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include a representation that, as of the date of adoption of such plan, the person adopting such plan (i) was not aware of any Material Non-Public Information about the Company or its securities; and (ii) is adopting such plan in good faith and not as part of a plan or scheme to evade the prohibitions of Rule 10b-5.</w:t>
      </w:r>
    </w:p>
    <w:p>
      <w:pPr>
        <w:spacing w:after="0" w:line="135" w:lineRule="exact"/>
        <w:rPr>
          <w:sz w:val="20"/>
          <w:szCs w:val="20"/>
          <w:color w:val="auto"/>
        </w:rPr>
      </w:pPr>
    </w:p>
    <w:p>
      <w:pPr>
        <w:ind w:left="660" w:right="3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Trades outside an effective 10b5-1 trading plan are permitted, however, you may not trade any securities that have been designated as plan securities because any such trades may be deemed a modification of the Rule 10b5-1 trading plan. Furthermore, if you are subject to the volume limitations of Rule 144 under the Securities Act, no sales of the Company’s securities outside the Rule 10b5-1 trading plan may be conducted that could effectively reduce the number of securities that could be sold under the Rule 10b5-1 trading plan because this could also be deemed a modification of such plan.</w:t>
      </w:r>
    </w:p>
    <w:p>
      <w:pPr>
        <w:spacing w:after="0" w:line="183" w:lineRule="exact"/>
        <w:rPr>
          <w:sz w:val="20"/>
          <w:szCs w:val="20"/>
          <w:color w:val="auto"/>
        </w:rPr>
      </w:pPr>
    </w:p>
    <w:p>
      <w:pPr>
        <w:ind w:left="660" w:right="20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You have an affirmative defense against any claim by the SEC against you for insider trading if your trade was made under a trading plan that complies with SEC Rule 10b5-1. However, if you have a 10b5-1 trading plan in place, you are still subject to risk of lawsuits by plaintiffs who may allege that the plan was not adopted in, or executed with, good faith or was part of a scheme to avoid prohibitions on illegal insider trading.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2" w:name="page193"/>
    <w:bookmarkEnd w:id="192"/>
    <w:p>
      <w:pPr>
        <w:ind w:left="660" w:right="180"/>
        <w:spacing w:after="0" w:line="282" w:lineRule="auto"/>
        <w:rPr>
          <w:sz w:val="20"/>
          <w:szCs w:val="20"/>
          <w:color w:val="auto"/>
        </w:rPr>
      </w:pPr>
      <w:r>
        <w:rPr>
          <w:rFonts w:ascii="Times New Roman" w:cs="Times New Roman" w:eastAsia="Times New Roman" w:hAnsi="Times New Roman"/>
          <w:sz w:val="18"/>
          <w:szCs w:val="18"/>
          <w:color w:val="auto"/>
        </w:rPr>
        <w:t>would, in that case, need to demonstrate that your 10b5-1 trading plan and any related stock transactions met the requirements described above for both the adoption and execution of the plan.</w:t>
      </w:r>
    </w:p>
    <w:p>
      <w:pPr>
        <w:spacing w:after="0" w:line="162"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rules regarding 10b5-1 trading plans are complex and you must fully comply with them. The Company recommends that you consult your legal advisor and work with a broker and be sure that you fully understand the limitations and conditions of the rules before proceeding.</w:t>
      </w:r>
    </w:p>
    <w:p>
      <w:pPr>
        <w:spacing w:after="0" w:line="176" w:lineRule="exact"/>
        <w:rPr>
          <w:sz w:val="20"/>
          <w:szCs w:val="20"/>
          <w:color w:val="auto"/>
        </w:rPr>
      </w:pPr>
    </w:p>
    <w:p>
      <w:pPr>
        <w:ind w:left="660" w:right="2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If you enter into a 10b5-1 trading plan, your 10b5-1 trading plan should be structured to avoid purchases or sales on dates occurring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we announce material news, and the investing public and media may not understand the nuances of trading pursuant to a 10b5-1 trading plan. This could result in negative publicity for you and the Company if the SEC or Nasdaq were to investigate your trades.</w:t>
      </w:r>
    </w:p>
    <w:p>
      <w:pPr>
        <w:spacing w:after="0" w:line="187" w:lineRule="exact"/>
        <w:rPr>
          <w:sz w:val="20"/>
          <w:szCs w:val="20"/>
          <w:color w:val="auto"/>
        </w:rPr>
      </w:pPr>
    </w:p>
    <w:p>
      <w:pPr>
        <w:ind w:left="660" w:right="4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For Insiders, any modification or termination of a pre-approved 10b5-1 or other trading plan requires pre-clearance by the Chief Legal Officer or their designee. In addition, any modification of a pre-approved 10b5-1 or other trading plan must occur when you are not aware of any Material Non-Public Information and must comply with the requirements of the rules regarding such trading plans (including Rule 10b5-1, if applicable) and, if you are subject to Window Period restrictions, must take place during a Window Period.</w:t>
      </w:r>
    </w:p>
    <w:p>
      <w:pPr>
        <w:spacing w:after="0" w:line="183"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color w:val="auto"/>
        </w:rPr>
        <w:t>Transactions effected pursuant to a pre-cleared 10b5-1 or other trading plan will not require further pre-clearance at the time of the transaction if the plan specifies the dates, prices and amounts of the contemplated trades, or establishes a formula for determining the dates, prices and amounts.</w:t>
      </w:r>
    </w:p>
    <w:p>
      <w:pPr>
        <w:spacing w:after="0" w:line="172" w:lineRule="exact"/>
        <w:rPr>
          <w:sz w:val="20"/>
          <w:szCs w:val="20"/>
          <w:color w:val="auto"/>
        </w:rPr>
      </w:pPr>
    </w:p>
    <w:p>
      <w:pPr>
        <w:ind w:left="660" w:right="4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b w:val="1"/>
          <w:bCs w:val="1"/>
          <w:color w:val="auto"/>
        </w:rPr>
        <w:t>If you are a Section 16 Person, 10b5-1 and other trading plans require special care, as the Company will be required to disclose the adoption, amendment or termination of a such plans (as well as the material terms of such plans) by such persons in its periodic reports filed with the SEC</w:t>
      </w:r>
      <w:r>
        <w:rPr>
          <w:rFonts w:ascii="Times New Roman" w:cs="Times New Roman" w:eastAsia="Times New Roman" w:hAnsi="Times New Roman"/>
          <w:sz w:val="18"/>
          <w:szCs w:val="18"/>
          <w:color w:val="auto"/>
        </w:rPr>
        <w:t>. Accordingly, it is imperative that Section 16 Persons coordinate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Legal Officer prior to adopting or modifying such plans. Moreover, because such plans may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trading plan is not permitted unless the trading plan requires your broker to notify the Company before the close of business on the day of the execution of the transaction. See Section 9.0.</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7"/>
          <w:szCs w:val="17"/>
          <w:b w:val="1"/>
          <w:bCs w:val="1"/>
          <w:u w:val="single" w:color="auto"/>
          <w:color w:val="auto"/>
        </w:rPr>
        <w:t>Potential Criminal and Civil Liability and/or Disciplinary Action</w:t>
      </w:r>
    </w:p>
    <w:p>
      <w:pPr>
        <w:spacing w:after="0" w:line="229" w:lineRule="exact"/>
        <w:rPr>
          <w:sz w:val="20"/>
          <w:szCs w:val="20"/>
          <w:color w:val="auto"/>
        </w:rPr>
      </w:pPr>
    </w:p>
    <w:p>
      <w:pPr>
        <w:ind w:left="660" w:right="5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Individual Responsibility</w:t>
      </w:r>
      <w:r>
        <w:rPr>
          <w:rFonts w:ascii="Times New Roman" w:cs="Times New Roman" w:eastAsia="Times New Roman" w:hAnsi="Times New Roman"/>
          <w:sz w:val="18"/>
          <w:szCs w:val="18"/>
          <w:color w:val="auto"/>
        </w:rPr>
        <w:t>. Each Insider is individually responsible for complying with the securities laws and this Policy,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regardless of whether the Company has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3" w:name="page194"/>
    <w:bookmarkEnd w:id="193"/>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trading by that Insider or any other Insiders. Trading in securities during the Window Periods and outside of any special blackout periods, or with pre-clearance, should not be considered a “safe harbor”. We remind you that, at no time, whether or not during a Window Period and whether or not you have obtained approval, may you trade securities while in possession of Material Non-Public Information.</w:t>
      </w:r>
    </w:p>
    <w:p>
      <w:pPr>
        <w:spacing w:after="0" w:line="180"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it is advisable that if you invest in the Company’s securities or the securities of any company that has a substantial relationship with the Company, then you do so from the perspective of a long term investor who would like to participate over time in the Company’s or such other company’s earnings growth and with the knowledge that you may be prohibited from disposing of such securities in the future.</w:t>
      </w:r>
    </w:p>
    <w:p>
      <w:pPr>
        <w:spacing w:after="0" w:line="189" w:lineRule="exact"/>
        <w:rPr>
          <w:sz w:val="20"/>
          <w:szCs w:val="20"/>
          <w:color w:val="auto"/>
        </w:rPr>
      </w:pPr>
    </w:p>
    <w:p>
      <w:pPr>
        <w:ind w:left="660" w:right="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Controlling Persons</w:t>
      </w:r>
      <w:r>
        <w:rPr>
          <w:rFonts w:ascii="Times New Roman" w:cs="Times New Roman" w:eastAsia="Times New Roman" w:hAnsi="Times New Roman"/>
          <w:sz w:val="18"/>
          <w:szCs w:val="18"/>
          <w:color w:val="auto"/>
        </w:rPr>
        <w:t>. Federal securities laws provide that, in addition to sanctions against an individual who trades illegally,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penalties may be assessed against what are known as “controlling persons” with respect to the violator. The term “controlling person” is not defined, but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whom they supervise understand and comply with the requirements set forth in this Policy.</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Potential Sanctions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line="255"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Insider Trading and Tipping. Insiders, controlling persons and the Company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Disciplinary Actions. Company Personnel who violate this Policy will be subject to disciplinary action, up to and including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194" w:name="page195"/>
    <w:bookmarkEnd w:id="194"/>
    <w:p>
      <w:pPr>
        <w:ind w:left="1300" w:right="20"/>
        <w:spacing w:after="0" w:line="266" w:lineRule="auto"/>
        <w:rPr>
          <w:sz w:val="20"/>
          <w:szCs w:val="20"/>
          <w:color w:val="auto"/>
        </w:rPr>
      </w:pPr>
      <w:r>
        <w:rPr>
          <w:rFonts w:ascii="Times New Roman" w:cs="Times New Roman" w:eastAsia="Times New Roman" w:hAnsi="Times New Roman"/>
          <w:sz w:val="18"/>
          <w:szCs w:val="18"/>
          <w:color w:val="auto"/>
        </w:rPr>
        <w:t>for cause or termination of other service relationship, whether or not the Company Personnel’s failure to comply results in a violation of law. Needless to say, a violation of law, or even an SEC investigation that does not result in prosecution, can tarnish one’s reputation and irreparably damage a career.</w:t>
      </w:r>
    </w:p>
    <w:p>
      <w:pPr>
        <w:spacing w:after="0" w:line="176"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Questions and Violations</w:t>
      </w:r>
      <w:r>
        <w:rPr>
          <w:rFonts w:ascii="Times New Roman" w:cs="Times New Roman" w:eastAsia="Times New Roman" w:hAnsi="Times New Roman"/>
          <w:sz w:val="18"/>
          <w:szCs w:val="18"/>
          <w:color w:val="auto"/>
        </w:rPr>
        <w:t>. Anyone with questions concerning this Policy or its application should contact the Chief Legal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 (or their designee). Any violation or perceived violation should be reported immediately to the Chief Legal Officer (or their designee). Anonymous reporting of violations or perceived violations may be made through the Waystar Ethics Line.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7"/>
          <w:szCs w:val="17"/>
          <w:b w:val="1"/>
          <w:bCs w:val="1"/>
          <w:u w:val="single" w:color="auto"/>
          <w:color w:val="auto"/>
        </w:rPr>
        <w:t>Broker Requirements for Section 16 Persons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timely reporting of transactions requires tight interface with brokers handling transactions for our Section 16 Persons.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must to comply with the following requirements:</w:t>
      </w:r>
    </w:p>
    <w:p>
      <w:pPr>
        <w:spacing w:after="0" w:line="183" w:lineRule="exact"/>
        <w:rPr>
          <w:sz w:val="20"/>
          <w:szCs w:val="20"/>
          <w:color w:val="auto"/>
        </w:rPr>
      </w:pPr>
    </w:p>
    <w:p>
      <w:pPr>
        <w:jc w:val="both"/>
        <w:ind w:left="980" w:hanging="324"/>
        <w:spacing w:after="0" w:line="266" w:lineRule="auto"/>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any order (except for orders under pre-approved Rule 10b5-1 plans) without first verifying with the Company that the transaction was pre-cleared under Section 6.3 and complying with the brokerage firm’s compliance procedures (e.g., Rule 144);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before the close of business on the day of the execution of the transaction to the Company by telephone and in writing via e-mail to the Chief Legal Officer or their designee, the complete (i.e., date, type of transaction, number of shares and price) details of every transaction involving the Company’s equity securities, including gifts, transfers, pledges and all transactions under 10b5-1 and other trading plans.</w:t>
      </w:r>
    </w:p>
    <w:p>
      <w:pPr>
        <w:spacing w:after="0" w:line="180"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7"/>
          <w:szCs w:val="17"/>
          <w:b w:val="1"/>
          <w:bCs w:val="1"/>
          <w:u w:val="single" w:color="auto"/>
          <w:color w:val="auto"/>
        </w:rPr>
        <w:t>Confidentiality</w:t>
      </w:r>
    </w:p>
    <w:p>
      <w:pPr>
        <w:spacing w:after="0" w:line="229"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vendors, suppliers or customers or when such persons are subject to contractual confidentiality restrictions). When such information is disclosed, the recipient must be told that such information may be used only for the business purpose related to its disclosure and that the information must be held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5" w:name="page196"/>
    <w:bookmarkEnd w:id="195"/>
    <w:p>
      <w:pPr>
        <w:ind w:left="200" w:right="100"/>
        <w:spacing w:after="0" w:line="256" w:lineRule="auto"/>
        <w:rPr>
          <w:sz w:val="20"/>
          <w:szCs w:val="20"/>
          <w:color w:val="auto"/>
        </w:rPr>
      </w:pPr>
      <w:r>
        <w:rPr>
          <w:rFonts w:ascii="Times New Roman" w:cs="Times New Roman" w:eastAsia="Times New Roman" w:hAnsi="Times New Roman"/>
          <w:sz w:val="18"/>
          <w:szCs w:val="18"/>
          <w:color w:val="auto"/>
        </w:rPr>
        <w:t>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Non-Public Information should be appropriately safeguarded and should not be left where it may be seen by persons not entitled to the information or otherwise accessible by persons not entitled to the information, and Non-Public Information should not be discussed with any person within the Company under circumstances where it could be overheard.</w:t>
      </w:r>
    </w:p>
    <w:p>
      <w:pPr>
        <w:spacing w:after="0" w:line="187"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Accordingly, Company Personnel should not respond to any such inquiries and should refer all such inquiries to the Company’s Chief Financial Officer, the head of investor relations or the Chief Legal Officer or their respective designees.</w:t>
      </w:r>
    </w:p>
    <w:p>
      <w:pPr>
        <w:spacing w:after="0" w:line="183"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Neither this Policy nor any policy of the Company, and notwithstanding any other confidentiality or non-disclosure agreement (whether in writing or otherwise, including without limitation as part of an employment agreement, separation agreement or similar employment or compensation arrangement) applicable to current or former Insiders, should be deemed to restrict any current or former Insider from communicating, cooperating or filing a charge or complaint with the SEC or any U.S. federal, state or local governmental or law enforcement branch, agency or entity (collectively,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xml:space="preserve">”) with respect to possible violations of any U.S. federal, state or local law or regulation, or otherwise making disclosures, including providing documents or other information, to any Governmental Entity, in each case, that are protected under the whistleblower provisions of any applicable law or regulation without notice to or approval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in each case such communications and disclosures are consistent with applicable law and (2) the information subject to such disclosure was not obtained by the current or former Insider through a communication that was subject to the attorney-client privilege, unless such disclosure of that information would otherwise be permitted by an attorney pursuant to 17 CFR 205.3(d)(2), applicable state attorney conduct rules, or otherwise. The Company will not limit the right of any current or former Insider to receive an award for providing information pursuant to the whistleblower provisions of any applicable law or regulation from any Government Entity. Any policy or agreement in conflict with the foregoing is hereby deemed amended by the Company to be consistent with the foregoing and any provision that may limit the ability of any person to receive an award under the whistleblowing provisions of applicable law or regulation will not be enforced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77" w:right="1019" w:bottom="1440" w:gutter="0" w:footer="0" w:header="0"/>
        </w:sectPr>
      </w:pPr>
    </w:p>
    <w:bookmarkStart w:id="196" w:name="page197"/>
    <w:bookmarkEnd w:id="19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b w:val="1"/>
          <w:bCs w:val="1"/>
          <w:u w:val="single" w:color="auto"/>
          <w:color w:val="auto"/>
        </w:rPr>
        <w:t>Legal Effect of this Policy</w:t>
      </w:r>
    </w:p>
    <w:p>
      <w:pPr>
        <w:spacing w:after="0" w:line="22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Company’s Policy with respect to securities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June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97" w:name="page198"/>
    <w:bookmarkEnd w:id="197"/>
    <w:p>
      <w:pPr>
        <w:jc w:val="center"/>
        <w:ind w:right="-460"/>
        <w:spacing w:after="0"/>
        <w:rPr>
          <w:sz w:val="20"/>
          <w:szCs w:val="20"/>
          <w:color w:val="auto"/>
        </w:rPr>
      </w:pPr>
      <w:r>
        <w:rPr>
          <w:rFonts w:ascii="Times New Roman" w:cs="Times New Roman" w:eastAsia="Times New Roman" w:hAnsi="Times New Roman"/>
          <w:sz w:val="18"/>
          <w:szCs w:val="18"/>
          <w:color w:val="auto"/>
        </w:rPr>
        <w:t>ACKNOWLEDGMENT CONCERNING SECURITIES TRADING POLICY</w:t>
      </w:r>
    </w:p>
    <w:p>
      <w:pPr>
        <w:spacing w:after="0" w:line="225" w:lineRule="exact"/>
        <w:rPr>
          <w:sz w:val="20"/>
          <w:szCs w:val="20"/>
          <w:color w:val="auto"/>
        </w:rPr>
      </w:pPr>
    </w:p>
    <w:p>
      <w:pPr>
        <w:ind w:right="139" w:firstLine="648"/>
        <w:spacing w:after="0" w:line="266" w:lineRule="auto"/>
        <w:rPr>
          <w:sz w:val="20"/>
          <w:szCs w:val="20"/>
          <w:color w:val="auto"/>
        </w:rPr>
      </w:pPr>
      <w:r>
        <w:rPr>
          <w:rFonts w:ascii="Times New Roman" w:cs="Times New Roman" w:eastAsia="Times New Roman" w:hAnsi="Times New Roman"/>
          <w:sz w:val="18"/>
          <w:szCs w:val="18"/>
          <w:color w:val="auto"/>
        </w:rPr>
        <w:t>We ask that you acknowledge that you have received, read and agree to abide by this Securities Trading Policy. Waystar Holding Corp. may ask you to re-submit this acknowledgement on an annual basis or whenever the Securities Trading Policy is significantly updated.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By my signature below, I acknowledge that I have read and received Waystar Holding Corp.’s Securities Trading Policy.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357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3577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3577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198" w:name="page199"/>
    <w:bookmarkEnd w:id="198"/>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REQUEST FOR APPROVAL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WAYSTAR HOLDING CORP.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2922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Type of Security </w:t>
      </w:r>
      <w:r>
        <w:rPr>
          <w:rFonts w:ascii="Times New Roman" w:cs="Times New Roman" w:eastAsia="Times New Roman" w:hAnsi="Times New Roman"/>
          <w:sz w:val="18"/>
          <w:szCs w:val="18"/>
          <w:color w:val="auto"/>
        </w:rPr>
        <w:t>[check all applicable boxes]</w:t>
      </w:r>
    </w:p>
    <w:p>
      <w:pPr>
        <w:spacing w:after="0" w:line="229" w:lineRule="exact"/>
        <w:rPr>
          <w:sz w:val="20"/>
          <w:szCs w:val="20"/>
          <w:color w:val="auto"/>
        </w:rPr>
      </w:pPr>
    </w:p>
    <w:p>
      <w:pPr>
        <w:ind w:left="980" w:hanging="324"/>
        <w:spacing w:after="0"/>
        <w:tabs>
          <w:tab w:leader="none" w:pos="980" w:val="left"/>
        </w:tabs>
        <w:numPr>
          <w:ilvl w:val="0"/>
          <w:numId w:val="1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Common stock</w:t>
      </w:r>
    </w:p>
    <w:p>
      <w:pPr>
        <w:spacing w:after="0" w:line="157"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Preferred stock</w:t>
      </w:r>
    </w:p>
    <w:p>
      <w:pPr>
        <w:spacing w:after="0" w:line="157"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Restricted stock</w:t>
      </w:r>
    </w:p>
    <w:p>
      <w:pPr>
        <w:spacing w:after="0" w:line="157"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Stock Option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-5080</wp:posOffset>
            </wp:positionV>
            <wp:extent cx="15138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Date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-5080</wp:posOffset>
            </wp:positionV>
            <wp:extent cx="15138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Transaction</w:t>
      </w:r>
    </w:p>
    <w:p>
      <w:pPr>
        <w:spacing w:after="0" w:line="31" w:lineRule="exact"/>
        <w:rPr>
          <w:sz w:val="20"/>
          <w:szCs w:val="20"/>
          <w:color w:val="auto"/>
        </w:rPr>
      </w:pPr>
    </w:p>
    <w:p>
      <w:pPr>
        <w:ind w:left="660"/>
        <w:spacing w:after="0"/>
        <w:tabs>
          <w:tab w:leader="none" w:pos="4620" w:val="left"/>
        </w:tabs>
        <w:rPr>
          <w:sz w:val="20"/>
          <w:szCs w:val="20"/>
          <w:color w:val="auto"/>
        </w:rPr>
      </w:pPr>
      <w:r>
        <w:rPr>
          <w:rFonts w:ascii="Wingdings" w:cs="Wingdings" w:eastAsia="Wingdings" w:hAnsi="Wingdings"/>
          <w:sz w:val="18"/>
          <w:szCs w:val="18"/>
          <w:b w:val="1"/>
          <w:bCs w:val="1"/>
          <w:color w:val="auto"/>
        </w:rPr>
        <w:t xml:space="preserve">q  </w:t>
      </w:r>
      <w:r>
        <w:rPr>
          <w:rFonts w:ascii="Times New Roman" w:cs="Times New Roman" w:eastAsia="Times New Roman" w:hAnsi="Times New Roman"/>
          <w:sz w:val="18"/>
          <w:szCs w:val="18"/>
          <w:color w:val="auto"/>
        </w:rPr>
        <w:t>Stock option exercise – Exercise Price $</w:t>
      </w:r>
      <w:r>
        <w:rPr>
          <w:sz w:val="20"/>
          <w:szCs w:val="20"/>
          <w:color w:val="auto"/>
        </w:rPr>
        <w:tab/>
      </w: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-19050</wp:posOffset>
            </wp:positionV>
            <wp:extent cx="4572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Exercise Price paid as follows:</w:t>
      </w:r>
    </w:p>
    <w:p>
      <w:pPr>
        <w:spacing w:after="0" w:line="9" w:lineRule="exact"/>
        <w:rPr>
          <w:sz w:val="20"/>
          <w:szCs w:val="20"/>
          <w:color w:val="auto"/>
        </w:rPr>
      </w:pPr>
    </w:p>
    <w:p>
      <w:pPr>
        <w:ind w:left="1800" w:hanging="496"/>
        <w:spacing w:after="0"/>
        <w:tabs>
          <w:tab w:leader="none" w:pos="1800" w:val="left"/>
        </w:tabs>
        <w:numPr>
          <w:ilvl w:val="0"/>
          <w:numId w:val="1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Broker’s cashless exchange</w:t>
      </w:r>
    </w:p>
    <w:p>
      <w:pPr>
        <w:spacing w:after="0" w:line="9" w:lineRule="exact"/>
        <w:rPr>
          <w:rFonts w:ascii="Wingdings" w:cs="Wingdings" w:eastAsia="Wingdings" w:hAnsi="Wingdings"/>
          <w:sz w:val="18"/>
          <w:szCs w:val="18"/>
          <w:b w:val="1"/>
          <w:bCs w:val="1"/>
          <w:color w:val="auto"/>
        </w:rPr>
      </w:pPr>
    </w:p>
    <w:p>
      <w:pPr>
        <w:ind w:left="1800" w:hanging="496"/>
        <w:spacing w:after="0"/>
        <w:tabs>
          <w:tab w:leader="none" w:pos="1800" w:val="left"/>
        </w:tabs>
        <w:numPr>
          <w:ilvl w:val="0"/>
          <w:numId w:val="1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cash</w:t>
      </w:r>
    </w:p>
    <w:p>
      <w:pPr>
        <w:spacing w:after="0" w:line="9" w:lineRule="exact"/>
        <w:rPr>
          <w:rFonts w:ascii="Wingdings" w:cs="Wingdings" w:eastAsia="Wingdings" w:hAnsi="Wingdings"/>
          <w:sz w:val="18"/>
          <w:szCs w:val="18"/>
          <w:b w:val="1"/>
          <w:bCs w:val="1"/>
          <w:color w:val="auto"/>
        </w:rPr>
      </w:pPr>
    </w:p>
    <w:p>
      <w:pPr>
        <w:ind w:left="1800" w:hanging="496"/>
        <w:spacing w:after="0"/>
        <w:tabs>
          <w:tab w:leader="none" w:pos="1800" w:val="left"/>
        </w:tabs>
        <w:numPr>
          <w:ilvl w:val="0"/>
          <w:numId w:val="1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-19050</wp:posOffset>
            </wp:positionV>
            <wp:extent cx="15138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87" w:lineRule="exact"/>
        <w:rPr>
          <w:sz w:val="20"/>
          <w:szCs w:val="20"/>
          <w:color w:val="auto"/>
        </w:rPr>
      </w:pPr>
    </w:p>
    <w:p>
      <w:pPr>
        <w:ind w:left="1800" w:hanging="496"/>
        <w:spacing w:after="0"/>
        <w:tabs>
          <w:tab w:leader="none" w:pos="1800" w:val="left"/>
        </w:tabs>
        <w:numPr>
          <w:ilvl w:val="0"/>
          <w:numId w:val="15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Broker’s cashless exchange</w:t>
      </w:r>
    </w:p>
    <w:p>
      <w:pPr>
        <w:spacing w:after="0" w:line="27" w:lineRule="exact"/>
        <w:rPr>
          <w:rFonts w:ascii="Wingdings" w:cs="Wingdings" w:eastAsia="Wingdings" w:hAnsi="Wingdings"/>
          <w:sz w:val="18"/>
          <w:szCs w:val="18"/>
          <w:b w:val="1"/>
          <w:bCs w:val="1"/>
          <w:color w:val="auto"/>
        </w:rPr>
      </w:pPr>
    </w:p>
    <w:p>
      <w:pPr>
        <w:ind w:left="1800" w:hanging="496"/>
        <w:spacing w:after="0"/>
        <w:tabs>
          <w:tab w:leader="none" w:pos="1800" w:val="left"/>
        </w:tabs>
        <w:numPr>
          <w:ilvl w:val="0"/>
          <w:numId w:val="15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cash</w:t>
      </w:r>
    </w:p>
    <w:p>
      <w:pPr>
        <w:spacing w:after="0" w:line="9" w:lineRule="exact"/>
        <w:rPr>
          <w:rFonts w:ascii="Wingdings" w:cs="Wingdings" w:eastAsia="Wingdings" w:hAnsi="Wingdings"/>
          <w:sz w:val="18"/>
          <w:szCs w:val="18"/>
          <w:b w:val="1"/>
          <w:bCs w:val="1"/>
          <w:color w:val="auto"/>
        </w:rPr>
      </w:pPr>
    </w:p>
    <w:p>
      <w:pPr>
        <w:ind w:left="1800" w:hanging="496"/>
        <w:spacing w:after="0"/>
        <w:tabs>
          <w:tab w:leader="none" w:pos="1800" w:val="left"/>
        </w:tabs>
        <w:numPr>
          <w:ilvl w:val="0"/>
          <w:numId w:val="15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-19050</wp:posOffset>
            </wp:positionV>
            <wp:extent cx="15138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980" w:hanging="324"/>
        <w:spacing w:after="0"/>
        <w:tabs>
          <w:tab w:leader="none" w:pos="980" w:val="left"/>
        </w:tabs>
        <w:numPr>
          <w:ilvl w:val="0"/>
          <w:numId w:val="15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Purchase</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Sale</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Gift</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Other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Contact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17145</wp:posOffset>
            </wp:positionV>
            <wp:extent cx="27774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27774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27774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27774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27774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Security or other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-5080</wp:posOffset>
            </wp:positionV>
            <wp:extent cx="15138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Status </w:t>
      </w:r>
      <w:r>
        <w:rPr>
          <w:rFonts w:ascii="Times New Roman" w:cs="Times New Roman" w:eastAsia="Times New Roman" w:hAnsi="Times New Roman"/>
          <w:sz w:val="18"/>
          <w:szCs w:val="18"/>
          <w:color w:val="auto"/>
        </w:rPr>
        <w:t>(check all applicable boxes)</w:t>
      </w:r>
    </w:p>
    <w:p>
      <w:pPr>
        <w:spacing w:after="0" w:line="31" w:lineRule="exact"/>
        <w:rPr>
          <w:sz w:val="20"/>
          <w:szCs w:val="20"/>
          <w:color w:val="auto"/>
        </w:rPr>
      </w:pPr>
    </w:p>
    <w:p>
      <w:pPr>
        <w:ind w:left="980" w:hanging="324"/>
        <w:spacing w:after="0"/>
        <w:tabs>
          <w:tab w:leader="none" w:pos="980" w:val="left"/>
        </w:tabs>
        <w:numPr>
          <w:ilvl w:val="0"/>
          <w:numId w:val="15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Executive Officer</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Board Member</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0"/>
          <w:numId w:val="15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Other Section 16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Filing Information </w:t>
      </w:r>
      <w:r>
        <w:rPr>
          <w:rFonts w:ascii="Times New Roman" w:cs="Times New Roman" w:eastAsia="Times New Roman" w:hAnsi="Times New Roman"/>
          <w:sz w:val="18"/>
          <w:szCs w:val="18"/>
          <w:color w:val="auto"/>
        </w:rPr>
        <w:t>(check all applicable boxes and complete blanks)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filing of last Form 3 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-19050</wp:posOffset>
            </wp:positionV>
            <wp:extent cx="15138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980" w:hanging="324"/>
        <w:spacing w:after="0"/>
        <w:tabs>
          <w:tab w:leader="none" w:pos="980" w:val="left"/>
        </w:tabs>
        <w:numPr>
          <w:ilvl w:val="0"/>
          <w:numId w:val="15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Is a Form 144 Necessary?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Date of filing of last Form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-7620</wp:posOffset>
            </wp:positionV>
            <wp:extent cx="1456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1"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I hereby represent to the Company that I am not currently in possession of any material non-public information relating to Waystar Holding Corp. and its subsidiaries. I hereby certify that the statements made on this form are true and correct.</w:t>
      </w:r>
    </w:p>
    <w:p>
      <w:pPr>
        <w:spacing w:after="0" w:line="17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I understand that clearance may be rescinded prior to effectuating the above transaction if material non-public information regarding Waystar Holding Corp. arises and, in the reasonable judgment of Waystar Holding Corp.,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200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0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r>
      <w:tr>
        <w:trPr>
          <w:trHeight w:val="178"/>
        </w:trPr>
        <w:tc>
          <w:tcPr>
            <w:tcW w:w="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Telephone</w:t>
            </w:r>
          </w:p>
        </w:tc>
        <w:tc>
          <w:tcPr>
            <w:tcW w:w="2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Number Where You May</w:t>
            </w:r>
          </w:p>
        </w:tc>
        <w:tc>
          <w:tcPr>
            <w:tcW w:w="2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Reached</w:t>
            </w:r>
          </w:p>
        </w:tc>
        <w:tc>
          <w:tcPr>
            <w:tcW w:w="2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62922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4" w:lineRule="exact"/>
        <w:rPr>
          <w:sz w:val="20"/>
          <w:szCs w:val="20"/>
          <w:color w:val="auto"/>
        </w:rPr>
      </w:pPr>
    </w:p>
    <w:p>
      <w:pPr>
        <w:jc w:val="both"/>
        <w:ind w:left="340" w:right="380" w:hanging="332"/>
        <w:spacing w:after="0" w:line="276" w:lineRule="auto"/>
        <w:tabs>
          <w:tab w:leader="none" w:pos="340" w:val="left"/>
        </w:tabs>
        <w:numPr>
          <w:ilvl w:val="0"/>
          <w:numId w:val="15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Request Approved (transaction must be completed during the Window Period (as defined in Section 6.4 of the Waystar Holding Corp. Securities Trading Policy) in which this approval was granted and in any event within three business days after approval).</w:t>
      </w:r>
    </w:p>
    <w:p>
      <w:pPr>
        <w:ind w:left="340" w:hanging="332"/>
        <w:spacing w:after="0"/>
        <w:tabs>
          <w:tab w:leader="none" w:pos="340" w:val="left"/>
        </w:tabs>
        <w:numPr>
          <w:ilvl w:val="0"/>
          <w:numId w:val="15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Request Denied</w:t>
      </w:r>
    </w:p>
    <w:p>
      <w:pPr>
        <w:spacing w:after="0" w:line="9"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5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Request Approved with the following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-19050</wp:posOffset>
            </wp:positionV>
            <wp:extent cx="8851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187"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17145</wp:posOffset>
            </wp:positionV>
            <wp:extent cx="58293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333-280091) on Form S-8 of our report dated February 17, 2025, with respect to the consolidated financial statements of Waystar Holding Corp.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Hawkins, certify that:</w:t>
      </w:r>
    </w:p>
    <w:p>
      <w:pPr>
        <w:spacing w:after="0" w:line="225"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Waystar Holding Corp.;</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February 18, 2025</w:t>
      </w:r>
      <w:r>
        <w:rPr>
          <w:sz w:val="20"/>
          <w:szCs w:val="20"/>
          <w:color w:val="auto"/>
        </w:rPr>
        <w:tab/>
      </w:r>
      <w:r>
        <w:rPr>
          <w:rFonts w:ascii="Times New Roman" w:cs="Times New Roman" w:eastAsia="Times New Roman" w:hAnsi="Times New Roman"/>
          <w:sz w:val="17"/>
          <w:szCs w:val="17"/>
          <w:color w:val="auto"/>
        </w:rPr>
        <w:t>By:/s/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34290</wp:posOffset>
            </wp:positionV>
            <wp:extent cx="29317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Matthew J. Hawkins</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M. Oreskovich, certify that:</w:t>
      </w:r>
    </w:p>
    <w:p>
      <w:pPr>
        <w:spacing w:after="0" w:line="225" w:lineRule="exact"/>
        <w:rPr>
          <w:sz w:val="20"/>
          <w:szCs w:val="20"/>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Waystar Holding Corp.;</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February 18, 2025</w:t>
      </w:r>
      <w:r>
        <w:rPr>
          <w:sz w:val="20"/>
          <w:szCs w:val="20"/>
          <w:color w:val="auto"/>
        </w:rPr>
        <w:tab/>
      </w:r>
      <w:r>
        <w:rPr>
          <w:rFonts w:ascii="Times New Roman" w:cs="Times New Roman" w:eastAsia="Times New Roman" w:hAnsi="Times New Roman"/>
          <w:sz w:val="18"/>
          <w:szCs w:val="18"/>
          <w:color w:val="auto"/>
        </w:rPr>
        <w:t>By: /s/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34290</wp:posOffset>
            </wp:positionV>
            <wp:extent cx="29400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Steven M. Oreskovich</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Waystar Holding Corp. (the “Company”) for the year ended December 31, 2024, as filed with the Securities and Exchange Commission on the date hereof (the “Report”), I, Matthew J. Hawkins,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February 18, 2025</w:t>
            </w:r>
          </w:p>
        </w:tc>
        <w:tc>
          <w:tcPr>
            <w:tcW w:w="67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Matthew J. Hawkins</w:t>
            </w:r>
          </w:p>
        </w:tc>
      </w:tr>
      <w:tr>
        <w:trPr>
          <w:trHeight w:val="191"/>
        </w:trPr>
        <w:tc>
          <w:tcPr>
            <w:tcW w:w="3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Hawkins</w:t>
            </w:r>
          </w:p>
        </w:tc>
      </w:tr>
      <w:tr>
        <w:trPr>
          <w:trHeight w:val="234"/>
        </w:trPr>
        <w:tc>
          <w:tcPr>
            <w:tcW w:w="3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198"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Waystar Holding Corp. (the “Company”) for the year ended December 31, 2024, as filed with the Securities and Exchange Commission on the date hereof (the “Report”), I, Steven M. Oreskovich,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February 18, 2025</w:t>
            </w:r>
          </w:p>
        </w:tc>
        <w:tc>
          <w:tcPr>
            <w:tcW w:w="67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Steven M. Oreskovich</w:t>
            </w:r>
          </w:p>
        </w:tc>
      </w:tr>
      <w:tr>
        <w:trPr>
          <w:trHeight w:val="191"/>
        </w:trPr>
        <w:tc>
          <w:tcPr>
            <w:tcW w:w="32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M. Oreskovich</w:t>
            </w:r>
          </w:p>
        </w:tc>
      </w:tr>
      <w:tr>
        <w:trPr>
          <w:trHeight w:val="234"/>
        </w:trPr>
        <w:tc>
          <w:tcPr>
            <w:tcW w:w="3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98"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225425</wp:posOffset>
            </wp:positionV>
            <wp:extent cx="31546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225425</wp:posOffset>
            </wp:positionV>
            <wp:extent cx="31546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 CLAWBACK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Incentive Compensation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which requires the recoupment of certain incentive-based compensation in accordance with the terms herein and is intended to comply with Listing Rule 5608, as promulgated by The Nasdaq Stock Market LLC, as such rule may be amended from time to time (the “</w:t>
      </w:r>
      <w:r>
        <w:rPr>
          <w:rFonts w:ascii="Times New Roman" w:cs="Times New Roman" w:eastAsia="Times New Roman" w:hAnsi="Times New Roman"/>
          <w:sz w:val="18"/>
          <w:szCs w:val="18"/>
          <w:u w:val="single" w:color="auto"/>
          <w:color w:val="auto"/>
        </w:rPr>
        <w:t>Listing Rules</w:t>
      </w:r>
      <w:r>
        <w:rPr>
          <w:rFonts w:ascii="Times New Roman" w:cs="Times New Roman" w:eastAsia="Times New Roman" w:hAnsi="Times New Roman"/>
          <w:sz w:val="18"/>
          <w:szCs w:val="18"/>
          <w:color w:val="auto"/>
        </w:rPr>
        <w:t>”). Capitalized terms not otherwise defined herein shall have the meanings assigned to such terms under Section K of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Interpretation and Administration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shall have full authority to interpret and enforce the Policy; provided, however, that the Policy shall be interpreted in a manner consistent with its intent to meet the requirements of the Listing Rules. As further set forth in Section I below, this Policy is intended to supplement any other clawback policies and procedures that the Company may have in place from time to time pursuant to other applicable law, plans, policies or agreements.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Covered Executives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Policy applies to each current and former Executive Officer of the Company who serves or served as an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at any time during a performance period in respect of which Incentive Compensation is Received, to the extent that any portion of such Incentive Compensation is (i) Received by the Executive Officer during the last three completed Fiscal Years or any applicable Transition Period preceding the date that the Company is required to prepare a Restatement (regardless of whether any such Restatement is actually filed) and (ii) determined to have included Erroneously Awarded Compensation. For purposes of determining the relevant recovery period referenced in the preceding clause (i), the date that the Company is required to prepare a Restatement under the Policy is the earlier to occur of (a) the date that the Board, a committee of the Board, or the officer or officers of the Company authorized to take such action if Board action is not required, concludes, or reasonably should have concluded, that the Company is required to prepare a Restatement or (b) the date a court, regulator, or other legally authorized body directs the Company to prepare a Restatement. Executive Officers subject to this Policy pursuant to this Section B are referred to herein as “</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Recovery of Erroneously Awarded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Erroneously Awarded Compensation is Received by a Covered Executive, the Company shall reasonably promptly take steps to recover such Erroneously Awarded Compensation in a manner described under Section D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D.  Forms of Recovery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Committee shall determine, in its sole discretion and in a manner that effectuates the purpose of the Listing Rules, one or more methods for recovering any Erroneously Awarded Compensation hereunder in accordance with Section C above, which may include, without limitation: (i) requiring cash reimbursement; (ii) seeking recovery or forfeiture of any gain realized on the vesting, exercise, settlement, sale, transfer or other disposition of any equity-based awards; (iii) offsetting the amount to be recouped from any compensation otherwise owed by the Company to the Covered Executive; (iv) cancelling outstanding vested or unvested equity awards; or (v)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Any reduction, cancellation or forfeiture of compensation shall be done in compliance with Section 409A of the Internal Revenue Code of 1986, as amended, and the regulations promulgated thereunder.</w:t>
      </w:r>
    </w:p>
    <w:p>
      <w:pPr>
        <w:spacing w:after="0" w:line="19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No Indemnification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Covered Executive against the loss of any Erroneously Awarded Compensation for which the Committee has determined to seek recoupment pursuant to this Policy.</w:t>
      </w:r>
    </w:p>
    <w:p>
      <w:pPr>
        <w:spacing w:after="0" w:line="158"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 to the Recovery Requirement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Policy to the contrary, Erroneously Awarded Compensation need not 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spacing w:after="0" w:line="176" w:lineRule="exact"/>
        <w:rPr>
          <w:sz w:val="20"/>
          <w:szCs w:val="20"/>
          <w:color w:val="auto"/>
        </w:rPr>
      </w:pPr>
    </w:p>
    <w:p>
      <w:pPr>
        <w:jc w:val="both"/>
        <w:ind w:left="1300" w:firstLine="4"/>
        <w:spacing w:after="0" w:line="258" w:lineRule="auto"/>
        <w:tabs>
          <w:tab w:leader="none" w:pos="194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94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 Determination Final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determination by the Committee with respect to the Policy shall be final, conclusive and binding on all interested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t>H.  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Policy may be amended by the Committee from time to time, to the extent permitted under the Listing Rules.</w:t>
      </w:r>
    </w:p>
    <w:p>
      <w:pPr>
        <w:spacing w:after="0" w:line="221"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Nothing in the Policy shall be viewed as limiting the right of the Company 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spacing w:after="0" w:line="183"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Policy shall be binding and enforceable against all Covered Executives and their beneficiaries, heirs, executors, administrators or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Defined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 shall have the meaning set forth in Section B of this Policy.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spacing w:after="0" w:line="183" w:lineRule="exact"/>
        <w:rPr>
          <w:sz w:val="20"/>
          <w:szCs w:val="20"/>
          <w:color w:val="auto"/>
        </w:rPr>
      </w:pPr>
    </w:p>
    <w:p>
      <w:pPr>
        <w:jc w:val="both"/>
        <w:ind w:left="1300" w:firstLine="4"/>
        <w:spacing w:after="0" w:line="266" w:lineRule="auto"/>
        <w:tabs>
          <w:tab w:leader="none" w:pos="1948"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calculation of Erroneously Awarded Compensation shall be based on a reasonable estimate of the effect of the Restatement on the stock price or total shareholder return upon which the Incentive Compensation was Received; and</w:t>
      </w:r>
    </w:p>
    <w:p>
      <w:pPr>
        <w:spacing w:after="0" w:line="175" w:lineRule="exact"/>
        <w:rPr>
          <w:rFonts w:ascii="Times New Roman" w:cs="Times New Roman" w:eastAsia="Times New Roman" w:hAnsi="Times New Roman"/>
          <w:sz w:val="18"/>
          <w:szCs w:val="18"/>
          <w:color w:val="010000"/>
        </w:rPr>
      </w:pPr>
    </w:p>
    <w:p>
      <w:pPr>
        <w:ind w:left="1300" w:firstLine="4"/>
        <w:spacing w:after="0" w:line="282" w:lineRule="auto"/>
        <w:tabs>
          <w:tab w:leader="none" w:pos="1948"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maintain documentation of the determination of that reasonable estimate and provide such documentation to the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mean The Nasdaq Stock Market.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policy-making functions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8" w:name="page209"/>
    <w:bookmarkEnd w:id="2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shall mean the Company’s fiscal year; provided that a Transition Period between the last day of the Company’s previous fiscal year end and the first day of its new fiscal year that comprises a period of nine to 12 months will be deemed a completed fiscal year.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awards that vest exclusively upon completion of a specified employment period, without any performance condition, and bonus awards that are discretionary or based on subjective goals or goals unrelated to Financial Reporting Measures. Notwithstanding the foregoing, compensation amounts shall not be considered “Incentive Compensation” for purposes of the Policy unless such compensation is Received while the Company has a class of securities listed on a national securities exchange or a national securities association.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shall mean a director who is determined by the Board to be “independent” for Board or Committee membership, as applicable, under the rules of the Exchange, as of any determination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Rules</w:t>
      </w:r>
      <w:r>
        <w:rPr>
          <w:rFonts w:ascii="Times New Roman" w:cs="Times New Roman" w:eastAsia="Times New Roman" w:hAnsi="Times New Roman"/>
          <w:sz w:val="18"/>
          <w:szCs w:val="18"/>
          <w:color w:val="auto"/>
        </w:rPr>
        <w:t>” shall have the meaning set forth in the Overview of this Policy.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Incentive Compensation shall be deemed “</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shall mean any transition period that results from a change in the Company’s Fiscal Year within or immediately following the three completed Fiscal Years immediately preceding the Company’s requirement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Adopted by the 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June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of Incentive Compensation Clawback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Waystar Holding Corp. Incentive Compensation Clawback Policy (as adopted on June 6, 2024 pursuant to Nasdaq Rule 5608)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Capitalized terms used herein without definition have the meanings assigned to such terms under the Policy.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signing below, the undersigned acknowledges, confirms and agrees that:</w:t>
      </w:r>
    </w:p>
    <w:p>
      <w:pPr>
        <w:spacing w:after="0" w:line="27" w:lineRule="exact"/>
        <w:rPr>
          <w:sz w:val="20"/>
          <w:szCs w:val="20"/>
          <w:color w:val="auto"/>
        </w:rPr>
      </w:pPr>
    </w:p>
    <w:p>
      <w:pPr>
        <w:ind w:left="1360" w:hanging="326"/>
        <w:spacing w:after="0"/>
        <w:tabs>
          <w:tab w:leader="none" w:pos="1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received and reviewed a copy of the Policy;</w:t>
      </w:r>
    </w:p>
    <w:p>
      <w:pPr>
        <w:spacing w:after="0" w:line="9" w:lineRule="exact"/>
        <w:rPr>
          <w:rFonts w:ascii="Times New Roman" w:cs="Times New Roman" w:eastAsia="Times New Roman" w:hAnsi="Times New Roman"/>
          <w:sz w:val="18"/>
          <w:szCs w:val="18"/>
          <w:color w:val="auto"/>
        </w:rPr>
      </w:pPr>
    </w:p>
    <w:p>
      <w:pPr>
        <w:ind w:left="1360" w:hanging="326"/>
        <w:spacing w:after="0"/>
        <w:tabs>
          <w:tab w:leader="none" w:pos="1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and will continue to be, subject to the Policy to the extent provided therein;</w:t>
      </w:r>
    </w:p>
    <w:p>
      <w:pPr>
        <w:spacing w:after="0" w:line="9" w:lineRule="exact"/>
        <w:rPr>
          <w:rFonts w:ascii="Times New Roman" w:cs="Times New Roman" w:eastAsia="Times New Roman" w:hAnsi="Times New Roman"/>
          <w:sz w:val="18"/>
          <w:szCs w:val="18"/>
          <w:color w:val="auto"/>
        </w:rPr>
      </w:pPr>
    </w:p>
    <w:p>
      <w:pPr>
        <w:ind w:left="1360" w:hanging="326"/>
        <w:spacing w:after="0" w:line="250" w:lineRule="auto"/>
        <w:tabs>
          <w:tab w:leader="none" w:pos="1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may apply both during and after termination of the undersigned’s employment with the Company and its affiliates; and</w:t>
      </w:r>
    </w:p>
    <w:p>
      <w:pPr>
        <w:ind w:left="1360" w:hanging="326"/>
        <w:spacing w:after="0" w:line="260" w:lineRule="auto"/>
        <w:tabs>
          <w:tab w:leader="none" w:pos="13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abide by the terms of the Policy, including, without limitation, by returning any Erroneously Awarded Compensation to the Company pursuant to the Policy.</w:t>
      </w:r>
    </w:p>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87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1)"/>
      <w:numFmt w:val="lowerRoman"/>
      <w:start w:val="3"/>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1)"/>
      <w:numFmt w:val="lowerRoman"/>
      <w:start w:val="1"/>
    </w:lvl>
  </w:abstractNum>
  <w:abstractNum w:abstractNumId="37">
    <w:nsid w:val="3FA62ACA"/>
    <w:multiLevelType w:val="hybridMultilevel"/>
    <w:lvl w:ilvl="0">
      <w:lvlJc w:val="left"/>
      <w:lvlText w:val="(%1)"/>
      <w:numFmt w:val="lowerRoman"/>
      <w:start w:val="4"/>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1)"/>
      <w:numFmt w:val="lowerLetter"/>
      <w:start w:val="1"/>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9"/>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lowerLetter"/>
      <w:start w:val="25"/>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decimal"/>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decimal"/>
      <w:start w:val="2"/>
    </w:lvl>
  </w:abstractNum>
  <w:abstractNum w:abstractNumId="49">
    <w:nsid w:val="1D9F6E5F"/>
    <w:multiLevelType w:val="hybridMultilevel"/>
    <w:lvl w:ilvl="0">
      <w:lvlJc w:val="left"/>
      <w:lvlText w:val="(%1)"/>
      <w:numFmt w:val="decimal"/>
      <w:start w:val="2"/>
    </w:lvl>
  </w:abstractNum>
  <w:abstractNum w:abstractNumId="50">
    <w:nsid w:val="97E1B4E"/>
    <w:multiLevelType w:val="hybridMultilevel"/>
    <w:lvl w:ilvl="0">
      <w:lvlJc w:val="left"/>
      <w:lvlText w:val="(%1)"/>
      <w:numFmt w:val="decimal"/>
      <w:start w:val="4"/>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1."/>
      <w:numFmt w:val="decimal"/>
      <w:start w:val="3"/>
    </w:lvl>
  </w:abstractNum>
  <w:abstractNum w:abstractNumId="54">
    <w:nsid w:val="415E286C"/>
    <w:multiLevelType w:val="hybridMultilevel"/>
    <w:lvl w:ilvl="0">
      <w:lvlJc w:val="left"/>
      <w:lvlText w:val="%1."/>
      <w:numFmt w:val="decimal"/>
      <w:start w:val="4"/>
    </w:lvl>
  </w:abstractNum>
  <w:abstractNum w:abstractNumId="55">
    <w:nsid w:val="7C58FD05"/>
    <w:multiLevelType w:val="hybridMultilevel"/>
    <w:lvl w:ilvl="0">
      <w:lvlJc w:val="left"/>
      <w:lvlText w:val="%1."/>
      <w:numFmt w:val="decimal"/>
      <w:start w:val="5"/>
    </w:lvl>
  </w:abstractNum>
  <w:abstractNum w:abstractNumId="56">
    <w:nsid w:val="23D86AAC"/>
    <w:multiLevelType w:val="hybridMultilevel"/>
    <w:lvl w:ilvl="0">
      <w:lvlJc w:val="left"/>
      <w:lvlText w:val="%1."/>
      <w:numFmt w:val="decimal"/>
      <w:start w:val="6"/>
    </w:lvl>
  </w:abstractNum>
  <w:abstractNum w:abstractNumId="57">
    <w:nsid w:val="45E6D486"/>
    <w:multiLevelType w:val="hybridMultilevel"/>
    <w:lvl w:ilvl="0">
      <w:lvlJc w:val="left"/>
      <w:lvlText w:val="%1."/>
      <w:numFmt w:val="decimal"/>
      <w:start w:val="7"/>
    </w:lvl>
  </w:abstractNum>
  <w:abstractNum w:abstractNumId="58">
    <w:nsid w:val="5C10FE21"/>
    <w:multiLevelType w:val="hybridMultilevel"/>
    <w:lvl w:ilvl="0">
      <w:lvlJc w:val="left"/>
      <w:lvlText w:val="%1."/>
      <w:numFmt w:val="decimal"/>
      <w:start w:val="8"/>
    </w:lvl>
  </w:abstractNum>
  <w:abstractNum w:abstractNumId="59">
    <w:nsid w:val="E7FFA2B"/>
    <w:multiLevelType w:val="hybridMultilevel"/>
    <w:lvl w:ilvl="0">
      <w:lvlJc w:val="left"/>
      <w:lvlText w:val="%1."/>
      <w:numFmt w:val="decimal"/>
      <w:start w:val="9"/>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
      <w:numFmt w:val="bullet"/>
      <w:start w:val="1"/>
    </w:lvl>
  </w:abstractNum>
  <w:abstractNum w:abstractNumId="63">
    <w:nsid w:val="39B7AAA2"/>
    <w:multiLevelType w:val="hybridMultilevel"/>
    <w:lvl w:ilvl="0">
      <w:lvlJc w:val="left"/>
      <w:lvlText w:val="●"/>
      <w:numFmt w:val="bullet"/>
      <w:start w:val="1"/>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
      <w:numFmt w:val="bullet"/>
      <w:start w:val="1"/>
    </w:lvl>
  </w:abstractNum>
  <w:abstractNum w:abstractNumId="67">
    <w:nsid w:val="69E373"/>
    <w:multiLevelType w:val="hybridMultilevel"/>
    <w:lvl w:ilvl="0">
      <w:lvlJc w:val="left"/>
      <w:lvlText w:val="(%1)"/>
      <w:numFmt w:val="decimal"/>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1)"/>
      <w:numFmt w:val="decimal"/>
      <w:start w:val="1"/>
    </w:lvl>
  </w:abstractNum>
  <w:abstractNum w:abstractNumId="70">
    <w:nsid w:val="6AA7B75C"/>
    <w:multiLevelType w:val="hybridMultilevel"/>
    <w:lvl w:ilvl="0">
      <w:lvlJc w:val="left"/>
      <w:lvlText w:val="(%1)"/>
      <w:numFmt w:val="lowerRoman"/>
      <w:start w:val="1"/>
    </w:lvl>
  </w:abstractNum>
  <w:abstractNum w:abstractNumId="71">
    <w:nsid w:val="1DF029D3"/>
    <w:multiLevelType w:val="hybridMultilevel"/>
    <w:lvl w:ilvl="0">
      <w:lvlJc w:val="left"/>
      <w:lvlText w:val="(%1)"/>
      <w:numFmt w:val="lowerRoman"/>
      <w:start w:val="2"/>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1)"/>
      <w:numFmt w:val="lowerRoman"/>
      <w:start w:val="1"/>
    </w:lvl>
    <w:lvl w:ilvl="1">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1)"/>
      <w:numFmt w:val="lowerRoman"/>
      <w:start w:val="1"/>
    </w:lvl>
  </w:abstractNum>
  <w:abstractNum w:abstractNumId="80">
    <w:nsid w:val="34FD6B4F"/>
    <w:multiLevelType w:val="hybridMultilevel"/>
    <w:lvl w:ilvl="0">
      <w:lvlJc w:val="left"/>
      <w:lvlText w:val="(%1)"/>
      <w:numFmt w:val="lowerRoman"/>
      <w:start w:val="1"/>
    </w:lvl>
  </w:abstractNum>
  <w:abstractNum w:abstractNumId="81">
    <w:nsid w:val="5915FF32"/>
    <w:multiLevelType w:val="hybridMultilevel"/>
    <w:lvl w:ilvl="0">
      <w:lvlJc w:val="left"/>
      <w:lvlText w:val="(%1)"/>
      <w:numFmt w:val="decimal"/>
      <w:start w:val="1"/>
    </w:lvl>
  </w:abstractNum>
  <w:abstractNum w:abstractNumId="82">
    <w:nsid w:val="56438D15"/>
    <w:multiLevelType w:val="hybridMultilevel"/>
    <w:lvl w:ilvl="0">
      <w:lvlJc w:val="left"/>
      <w:lvlText w:val="●"/>
      <w:numFmt w:val="bullet"/>
      <w:start w:val="1"/>
    </w:lvl>
  </w:abstractNum>
  <w:abstractNum w:abstractNumId="83">
    <w:nsid w:val="519E3149"/>
    <w:multiLevelType w:val="hybridMultilevel"/>
    <w:lvl w:ilvl="0">
      <w:lvlJc w:val="left"/>
      <w:lvlText w:val="%1"/>
      <w:numFmt w:val="decimal"/>
      <w:start w:val="104"/>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
      <w:numFmt w:val="bullet"/>
      <w:start w:val="1"/>
    </w:lvl>
  </w:abstractNum>
  <w:abstractNum w:abstractNumId="87">
    <w:nsid w:val="5046B5A9"/>
    <w:multiLevelType w:val="hybridMultilevel"/>
    <w:lvl w:ilvl="0">
      <w:lvlJc w:val="left"/>
      <w:lvlText w:val="●"/>
      <w:numFmt w:val="bullet"/>
      <w:start w:val="1"/>
    </w:lvl>
  </w:abstractNum>
  <w:abstractNum w:abstractNumId="88">
    <w:nsid w:val="5D888A08"/>
    <w:multiLevelType w:val="hybridMultilevel"/>
    <w:lvl w:ilvl="0">
      <w:lvlJc w:val="left"/>
      <w:lvlText w:val="●"/>
      <w:numFmt w:val="bullet"/>
      <w:start w:val="1"/>
    </w:lvl>
  </w:abstractNum>
  <w:abstractNum w:abstractNumId="89">
    <w:nsid w:val="2A082C70"/>
    <w:multiLevelType w:val="hybridMultilevel"/>
    <w:lvl w:ilvl="0">
      <w:lvlJc w:val="left"/>
      <w:lvlText w:val="●"/>
      <w:numFmt w:val="bullet"/>
      <w:start w:val="1"/>
    </w:lvl>
  </w:abstractNum>
  <w:abstractNum w:abstractNumId="90">
    <w:nsid w:val="5EC6AFD4"/>
    <w:multiLevelType w:val="hybridMultilevel"/>
    <w:lvl w:ilvl="0">
      <w:lvlJc w:val="left"/>
      <w:lvlText w:val="%1."/>
      <w:numFmt w:val="decimal"/>
      <w:start w:val="1"/>
    </w:lvl>
    <w:lvl w:ilvl="1">
      <w:lvlJc w:val="left"/>
      <w:lvlText w:val="%2."/>
      <w:numFmt w:val="lowerLetter"/>
      <w:start w:val="1"/>
    </w:lvl>
  </w:abstractNum>
  <w:abstractNum w:abstractNumId="91">
    <w:nsid w:val="19E21BB2"/>
    <w:multiLevelType w:val="hybridMultilevel"/>
    <w:lvl w:ilvl="0">
      <w:lvlJc w:val="left"/>
      <w:lvlText w:val="%1"/>
      <w:numFmt w:val="decimal"/>
      <w:start w:val="1"/>
    </w:lvl>
    <w:lvl w:ilvl="1">
      <w:lvlJc w:val="left"/>
      <w:lvlText w:val="%2."/>
      <w:numFmt w:val="lowerLetter"/>
      <w:start w:val="3"/>
    </w:lvl>
  </w:abstractNum>
  <w:abstractNum w:abstractNumId="92">
    <w:nsid w:val="75E0858A"/>
    <w:multiLevelType w:val="hybridMultilevel"/>
    <w:lvl w:ilvl="0">
      <w:lvlJc w:val="left"/>
      <w:lvlText w:val="%1."/>
      <w:numFmt w:val="decimal"/>
      <w:start w:val="2"/>
    </w:lvl>
    <w:lvl w:ilvl="1">
      <w:lvlJc w:val="left"/>
      <w:lvlText w:val="%2."/>
      <w:numFmt w:val="lowerLetter"/>
      <w:start w:val="1"/>
    </w:lvl>
  </w:abstractNum>
  <w:abstractNum w:abstractNumId="93">
    <w:nsid w:val="57A61A29"/>
    <w:multiLevelType w:val="hybridMultilevel"/>
    <w:lvl w:ilvl="0">
      <w:lvlJc w:val="left"/>
      <w:lvlText w:val="(%1)"/>
      <w:numFmt w:val="lowerRoman"/>
      <w:start w:val="1"/>
    </w:lvl>
  </w:abstractNum>
  <w:abstractNum w:abstractNumId="94">
    <w:nsid w:val="5399C654"/>
    <w:multiLevelType w:val="hybridMultilevel"/>
    <w:lvl w:ilvl="0">
      <w:lvlJc w:val="left"/>
      <w:lvlText w:val="%1."/>
      <w:numFmt w:val="decimal"/>
      <w:start w:val="1"/>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decimal"/>
      <w:start w:val="3"/>
    </w:lvl>
  </w:abstractNum>
  <w:abstractNum w:abstractNumId="97">
    <w:nsid w:val="B37E80A"/>
    <w:multiLevelType w:val="hybridMultilevel"/>
    <w:lvl w:ilvl="0">
      <w:lvlJc w:val="left"/>
      <w:lvlText w:val="%1"/>
      <w:numFmt w:val="lowerLetter"/>
      <w:start w:val="1"/>
    </w:lvl>
    <w:lvl w:ilvl="1">
      <w:lvlJc w:val="left"/>
      <w:lvlText w:val="(%2)"/>
      <w:numFmt w:val="lowerLetter"/>
      <w:start w:val="1"/>
    </w:lvl>
  </w:abstractNum>
  <w:abstractNum w:abstractNumId="98">
    <w:nsid w:val="2157F6BC"/>
    <w:multiLevelType w:val="hybridMultilevel"/>
    <w:lvl w:ilvl="0">
      <w:lvlJc w:val="left"/>
      <w:lvlText w:val="(%1)"/>
      <w:numFmt w:val="lowerLetter"/>
      <w:start w:val="35"/>
    </w:lvl>
    <w:lvl w:ilvl="1">
      <w:lvlJc w:val="left"/>
      <w:lvlText w:val="%2"/>
      <w:numFmt w:val="lowerLetter"/>
      <w:start w:val="1"/>
    </w:lvl>
  </w:abstractNum>
  <w:abstractNum w:abstractNumId="99">
    <w:nsid w:val="704E1DD5"/>
    <w:multiLevelType w:val="hybridMultilevel"/>
    <w:lvl w:ilvl="0">
      <w:lvlJc w:val="left"/>
      <w:lvlText w:val="(%1)"/>
      <w:numFmt w:val="lowerLetter"/>
      <w:start w:val="2"/>
    </w:lvl>
  </w:abstractNum>
  <w:abstractNum w:abstractNumId="100">
    <w:nsid w:val="57D2F10E"/>
    <w:multiLevelType w:val="hybridMultilevel"/>
    <w:lvl w:ilvl="0">
      <w:lvlJc w:val="left"/>
      <w:lvlText w:val="%1."/>
      <w:numFmt w:val="decimal"/>
      <w:start w:val="5"/>
    </w:lvl>
  </w:abstractNum>
  <w:abstractNum w:abstractNumId="101">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
    <w:nsid w:val="E3E47A8"/>
    <w:multiLevelType w:val="hybridMultilevel"/>
    <w:lvl w:ilvl="0">
      <w:lvlJc w:val="left"/>
      <w:lvlText w:val="(%1)"/>
      <w:numFmt w:val="lowerLetter"/>
      <w:start w:val="3"/>
    </w:lvl>
  </w:abstractNum>
  <w:abstractNum w:abstractNumId="103">
    <w:nsid w:val="2E48F044"/>
    <w:multiLevelType w:val="hybridMultilevel"/>
    <w:lvl w:ilvl="0">
      <w:lvlJc w:val="left"/>
      <w:lvlText w:val="%1."/>
      <w:numFmt w:val="decimal"/>
      <w:start w:val="6"/>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decimal"/>
      <w:start w:val="7"/>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lowerLetter"/>
      <w:start w:val="2"/>
    </w:lvl>
  </w:abstractNum>
  <w:abstractNum w:abstractNumId="108">
    <w:nsid w:val="634C574C"/>
    <w:multiLevelType w:val="hybridMultilevel"/>
    <w:lvl w:ilvl="0">
      <w:lvlJc w:val="left"/>
      <w:lvlText w:val="%1."/>
      <w:numFmt w:val="decimal"/>
      <w:start w:val="8"/>
    </w:lvl>
  </w:abstractNum>
  <w:abstractNum w:abstractNumId="109">
    <w:nsid w:val="24E99DD7"/>
    <w:multiLevelType w:val="hybridMultilevel"/>
    <w:lvl w:ilvl="0">
      <w:lvlJc w:val="left"/>
      <w:lvlText w:val="(%1)"/>
      <w:numFmt w:val="lowerLetter"/>
      <w:start w:val="1"/>
    </w:lvl>
  </w:abstractNum>
  <w:abstractNum w:abstractNumId="110">
    <w:nsid w:val="2A31B62D"/>
    <w:multiLevelType w:val="hybridMultilevel"/>
    <w:lvl w:ilvl="0">
      <w:lvlJc w:val="left"/>
      <w:lvlText w:val="%1."/>
      <w:numFmt w:val="decimal"/>
      <w:start w:val="9"/>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decimal"/>
      <w:start w:val="10"/>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decimal"/>
      <w:start w:val="11"/>
    </w:lvl>
  </w:abstractNum>
  <w:abstractNum w:abstractNumId="115">
    <w:nsid w:val="2A6DE806"/>
    <w:multiLevelType w:val="hybridMultilevel"/>
    <w:lvl w:ilvl="0">
      <w:lvlJc w:val="left"/>
      <w:lvlText w:val="%1."/>
      <w:numFmt w:val="decimal"/>
      <w:start w:val="14"/>
    </w:lvl>
    <w:lvl w:ilvl="1">
      <w:lvlJc w:val="left"/>
      <w:lvlText w:val="*"/>
      <w:numFmt w:val="bullet"/>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lowerLetter"/>
      <w:start w:val="61"/>
    </w:lvl>
    <w:lvl w:ilvl="1">
      <w:lvlJc w:val="left"/>
      <w:lvlText w:val="(%2)"/>
      <w:numFmt w:val="lowerLetter"/>
      <w:start w:val="3"/>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1"/>
    </w:lvl>
    <w:lvl w:ilvl="1">
      <w:lvlJc w:val="left"/>
      <w:lvlText w:val="(%2)"/>
      <w:numFmt w:val="lowerRoman"/>
      <w:start w:val="1"/>
    </w:lvl>
  </w:abstractNum>
  <w:abstractNum w:abstractNumId="120">
    <w:nsid w:val="61E74EA3"/>
    <w:multiLevelType w:val="hybridMultilevel"/>
    <w:lvl w:ilvl="0">
      <w:lvlJc w:val="left"/>
      <w:lvlText w:val="(%1)"/>
      <w:numFmt w:val="lowerRoman"/>
      <w:start w:val="4"/>
    </w:lvl>
  </w:abstractNum>
  <w:abstractNum w:abstractNumId="121">
    <w:nsid w:val="597B4D84"/>
    <w:multiLevelType w:val="hybridMultilevel"/>
    <w:lvl w:ilvl="0">
      <w:lvlJc w:val="left"/>
      <w:lvlText w:val="(%1)"/>
      <w:numFmt w:val="lowerLetter"/>
      <w:start w:val="4"/>
    </w:lvl>
    <w:lvl w:ilvl="1">
      <w:lvlJc w:val="left"/>
      <w:lvlText w:val="(%2)"/>
      <w:numFmt w:val="lowerRoman"/>
      <w:start w:val="1"/>
    </w:lvl>
  </w:abstractNum>
  <w:abstractNum w:abstractNumId="122">
    <w:nsid w:val="F819E7F"/>
    <w:multiLevelType w:val="hybridMultilevel"/>
    <w:lvl w:ilvl="0">
      <w:lvlJc w:val="left"/>
      <w:lvlText w:val="(%1)"/>
      <w:numFmt w:val="lowerRoman"/>
      <w:start w:val="3"/>
    </w:lvl>
  </w:abstractNum>
  <w:abstractNum w:abstractNumId="123">
    <w:nsid w:val="57C7D42D"/>
    <w:multiLevelType w:val="hybridMultilevel"/>
    <w:lvl w:ilvl="0">
      <w:lvlJc w:val="left"/>
      <w:lvlText w:val="(%1)"/>
      <w:numFmt w:val="lowerRoman"/>
      <w:start w:val="4"/>
    </w:lvl>
  </w:abstractNum>
  <w:abstractNum w:abstractNumId="124">
    <w:nsid w:val="312167AD"/>
    <w:multiLevelType w:val="hybridMultilevel"/>
    <w:lvl w:ilvl="0">
      <w:lvlJc w:val="left"/>
      <w:lvlText w:val="(%1)"/>
      <w:numFmt w:val="lowerLetter"/>
      <w:start w:val="6"/>
    </w:lvl>
  </w:abstractNum>
  <w:abstractNum w:abstractNumId="125">
    <w:nsid w:val="631B64D4"/>
    <w:multiLevelType w:val="hybridMultilevel"/>
    <w:lvl w:ilvl="0">
      <w:lvlJc w:val="left"/>
      <w:lvlText w:val="(%1)"/>
      <w:numFmt w:val="lowerLetter"/>
      <w:start w:val="7"/>
    </w:lvl>
  </w:abstractNum>
  <w:abstractNum w:abstractNumId="126">
    <w:nsid w:val="78B5E776"/>
    <w:multiLevelType w:val="hybridMultilevel"/>
    <w:lvl w:ilvl="0">
      <w:lvlJc w:val="left"/>
      <w:lvlText w:val="(%1)"/>
      <w:numFmt w:val="lowerLetter"/>
      <w:start w:val="1"/>
    </w:lvl>
    <w:lvl w:ilvl="1">
      <w:lvlJc w:val="left"/>
      <w:lvlText w:val="(%2)"/>
      <w:numFmt w:val="lowerRoman"/>
      <w:start w:val="1"/>
    </w:lvl>
  </w:abstractNum>
  <w:abstractNum w:abstractNumId="127">
    <w:nsid w:val="75486E47"/>
    <w:multiLevelType w:val="hybridMultilevel"/>
    <w:lvl w:ilvl="0">
      <w:lvlJc w:val="left"/>
      <w:lvlText w:val="(%1)"/>
      <w:numFmt w:val="lowerLetter"/>
      <w:start w:val="3"/>
    </w:lvl>
    <w:lvl w:ilvl="1">
      <w:lvlJc w:val="left"/>
      <w:lvlText w:val="(%2)"/>
      <w:numFmt w:val="lowerRoman"/>
      <w:start w:val="1"/>
    </w:lvl>
  </w:abstractNum>
  <w:abstractNum w:abstractNumId="128">
    <w:nsid w:val="6E534CDE"/>
    <w:multiLevelType w:val="hybridMultilevel"/>
    <w:lvl w:ilvl="0">
      <w:lvlJc w:val="left"/>
      <w:lvlText w:val="(%1)"/>
      <w:numFmt w:val="lowerLetter"/>
      <w:start w:val="4"/>
    </w:lvl>
  </w:abstractNum>
  <w:abstractNum w:abstractNumId="129">
    <w:nsid w:val="1A0DDE32"/>
    <w:multiLevelType w:val="hybridMultilevel"/>
    <w:lvl w:ilvl="0">
      <w:lvlJc w:val="left"/>
      <w:lvlText w:val="(%1)"/>
      <w:numFmt w:val="lowerLetter"/>
      <w:start w:val="7"/>
    </w:lvl>
  </w:abstractNum>
  <w:abstractNum w:abstractNumId="130">
    <w:nsid w:val="65968C1C"/>
    <w:multiLevelType w:val="hybridMultilevel"/>
    <w:lvl w:ilvl="0">
      <w:lvlJc w:val="left"/>
      <w:lvlText w:val="(%1)"/>
      <w:numFmt w:val="lowerLetter"/>
      <w:start w:val="1"/>
    </w:lvl>
  </w:abstractNum>
  <w:abstractNum w:abstractNumId="131">
    <w:nsid w:val="46263DEC"/>
    <w:multiLevelType w:val="hybridMultilevel"/>
    <w:lvl w:ilvl="0">
      <w:lvlJc w:val="left"/>
      <w:lvlText w:val="(%1)"/>
      <w:numFmt w:val="lowerLetter"/>
      <w:start w:val="1"/>
    </w:lvl>
  </w:abstractNum>
  <w:abstractNum w:abstractNumId="132">
    <w:nsid w:val="260D8C4A"/>
    <w:multiLevelType w:val="hybridMultilevel"/>
    <w:lvl w:ilvl="0">
      <w:lvlJc w:val="left"/>
      <w:lvlText w:val="(%1)"/>
      <w:numFmt w:val="lowerLetter"/>
      <w:start w:val="5"/>
    </w:lvl>
  </w:abstractNum>
  <w:abstractNum w:abstractNumId="133">
    <w:nsid w:val="73D4D3C4"/>
    <w:multiLevelType w:val="hybridMultilevel"/>
    <w:lvl w:ilvl="0">
      <w:lvlJc w:val="left"/>
      <w:lvlText w:val="(%1)"/>
      <w:numFmt w:val="lowerLetter"/>
      <w:start w:val="1"/>
    </w:lvl>
  </w:abstractNum>
  <w:abstractNum w:abstractNumId="134">
    <w:nsid w:val="746F2E30"/>
    <w:multiLevelType w:val="hybridMultilevel"/>
    <w:lvl w:ilvl="0">
      <w:lvlJc w:val="left"/>
      <w:lvlText w:val="(%1)"/>
      <w:numFmt w:val="lowerLetter"/>
      <w:start w:val="1"/>
    </w:lvl>
  </w:abstractNum>
  <w:abstractNum w:abstractNumId="135">
    <w:nsid w:val="6FDE8AF6"/>
    <w:multiLevelType w:val="hybridMultilevel"/>
    <w:lvl w:ilvl="0">
      <w:lvlJc w:val="left"/>
      <w:lvlText w:val="(%1)"/>
      <w:numFmt w:val="lowerLetter"/>
      <w:start w:val="7"/>
    </w:lvl>
  </w:abstractNum>
  <w:abstractNum w:abstractNumId="136">
    <w:nsid w:val="3FC32E20"/>
    <w:multiLevelType w:val="hybridMultilevel"/>
    <w:lvl w:ilvl="0">
      <w:lvlJc w:val="left"/>
      <w:lvlText w:val="(%1)"/>
      <w:numFmt w:val="lowerLetter"/>
      <w:start w:val="15"/>
    </w:lvl>
  </w:abstractNum>
  <w:abstractNum w:abstractNumId="137">
    <w:nsid w:val="49C0E823"/>
    <w:multiLevelType w:val="hybridMultilevel"/>
    <w:lvl w:ilvl="0">
      <w:lvlJc w:val="left"/>
      <w:lvlText w:val="(%1)"/>
      <w:numFmt w:val="lowerLetter"/>
      <w:start w:val="19"/>
    </w:lvl>
    <w:lvl w:ilvl="1">
      <w:lvlJc w:val="left"/>
      <w:lvlText w:val="*"/>
      <w:numFmt w:val="bullet"/>
      <w:start w:val="1"/>
    </w:lvl>
  </w:abstractNum>
  <w:abstractNum w:abstractNumId="138">
    <w:nsid w:val="14D53685"/>
    <w:multiLevelType w:val="hybridMultilevel"/>
    <w:lvl w:ilvl="0">
      <w:lvlJc w:val="left"/>
      <w:lvlText w:val="(%1)"/>
      <w:numFmt w:val="lowerRoman"/>
      <w:start w:val="2"/>
    </w:lvl>
  </w:abstractNum>
  <w:abstractNum w:abstractNumId="139">
    <w:nsid w:val="230F856C"/>
    <w:multiLevelType w:val="hybridMultilevel"/>
    <w:lvl w:ilvl="0">
      <w:lvlJc w:val="left"/>
      <w:lvlText w:val="·"/>
      <w:numFmt w:val="bullet"/>
      <w:start w:val="1"/>
    </w:lvl>
  </w:abstractNum>
  <w:abstractNum w:abstractNumId="140">
    <w:nsid w:val="6EAA85FB"/>
    <w:multiLevelType w:val="hybridMultilevel"/>
    <w:lvl w:ilvl="0">
      <w:lvlJc w:val="left"/>
      <w:lvlText w:val="●"/>
      <w:numFmt w:val="bullet"/>
      <w:start w:val="1"/>
    </w:lvl>
  </w:abstractNum>
  <w:abstractNum w:abstractNumId="141">
    <w:nsid w:val="3F06ECB2"/>
    <w:multiLevelType w:val="hybridMultilevel"/>
    <w:lvl w:ilvl="0">
      <w:lvlJc w:val="left"/>
      <w:lvlText w:val="●"/>
      <w:numFmt w:val="bullet"/>
      <w:start w:val="1"/>
    </w:lvl>
  </w:abstractNum>
  <w:abstractNum w:abstractNumId="142">
    <w:nsid w:val="3B594807"/>
    <w:multiLevelType w:val="hybridMultilevel"/>
    <w:lvl w:ilvl="0">
      <w:lvlJc w:val="left"/>
      <w:lvlText w:val="●"/>
      <w:numFmt w:val="bullet"/>
      <w:start w:val="1"/>
    </w:lvl>
  </w:abstractNum>
  <w:abstractNum w:abstractNumId="143">
    <w:nsid w:val="6CAA2304"/>
    <w:multiLevelType w:val="hybridMultilevel"/>
    <w:lvl w:ilvl="0">
      <w:lvlJc w:val="left"/>
      <w:lvlText w:val="●"/>
      <w:numFmt w:val="bullet"/>
      <w:start w:val="1"/>
    </w:lvl>
  </w:abstractNum>
  <w:abstractNum w:abstractNumId="144">
    <w:nsid w:val="3F7C2FF4"/>
    <w:multiLevelType w:val="hybridMultilevel"/>
    <w:lvl w:ilvl="0">
      <w:lvlJc w:val="left"/>
      <w:lvlText w:val="●"/>
      <w:numFmt w:val="bullet"/>
      <w:start w:val="1"/>
    </w:lvl>
  </w:abstractNum>
  <w:abstractNum w:abstractNumId="145">
    <w:nsid w:val="25413BEC"/>
    <w:multiLevelType w:val="hybridMultilevel"/>
    <w:lvl w:ilvl="0">
      <w:lvlJc w:val="left"/>
      <w:lvlText w:val="●"/>
      <w:numFmt w:val="bullet"/>
      <w:start w:val="1"/>
    </w:lvl>
  </w:abstractNum>
  <w:abstractNum w:abstractNumId="146">
    <w:nsid w:val="17180B0B"/>
    <w:multiLevelType w:val="hybridMultilevel"/>
    <w:lvl w:ilvl="0">
      <w:lvlJc w:val="left"/>
      <w:lvlText w:val="%1."/>
      <w:numFmt w:val="lowerRoman"/>
      <w:start w:val="1"/>
    </w:lvl>
  </w:abstractNum>
  <w:abstractNum w:abstractNumId="147">
    <w:nsid w:val="579328B9"/>
    <w:multiLevelType w:val="hybridMultilevel"/>
    <w:lvl w:ilvl="0">
      <w:lvlJc w:val="left"/>
      <w:lvlText w:val="(%1)"/>
      <w:numFmt w:val="lowerLetter"/>
      <w:start w:val="1"/>
    </w:lvl>
  </w:abstractNum>
  <w:abstractNum w:abstractNumId="148">
    <w:nsid w:val="5D205E20"/>
    <w:multiLevelType w:val="hybridMultilevel"/>
    <w:lvl w:ilvl="0">
      <w:lvlJc w:val="left"/>
      <w:lvlText w:val="(%1)"/>
      <w:numFmt w:val="lowerLetter"/>
      <w:start w:val="1"/>
    </w:lvl>
  </w:abstractNum>
  <w:abstractNum w:abstractNumId="149">
    <w:nsid w:val="11CCA8BA"/>
    <w:multiLevelType w:val="hybridMultilevel"/>
    <w:lvl w:ilvl="0">
      <w:lvlJc w:val="left"/>
      <w:lvlText w:val="●"/>
      <w:numFmt w:val="bullet"/>
      <w:start w:val="1"/>
    </w:lvl>
  </w:abstractNum>
  <w:abstractNum w:abstractNumId="150">
    <w:nsid w:val="4D32AB86"/>
    <w:multiLevelType w:val="hybridMultilevel"/>
    <w:lvl w:ilvl="0">
      <w:lvlJc w:val="left"/>
      <w:lvlText w:val="q"/>
      <w:numFmt w:val="bullet"/>
      <w:start w:val="1"/>
    </w:lvl>
  </w:abstractNum>
  <w:abstractNum w:abstractNumId="151">
    <w:nsid w:val="3F07ACC3"/>
    <w:multiLevelType w:val="hybridMultilevel"/>
    <w:lvl w:ilvl="0">
      <w:lvlJc w:val="left"/>
      <w:lvlText w:val="q"/>
      <w:numFmt w:val="bullet"/>
      <w:start w:val="1"/>
    </w:lvl>
  </w:abstractNum>
  <w:abstractNum w:abstractNumId="152">
    <w:nsid w:val="6B47F63E"/>
    <w:multiLevelType w:val="hybridMultilevel"/>
    <w:lvl w:ilvl="0">
      <w:lvlJc w:val="left"/>
      <w:lvlText w:val="q"/>
      <w:numFmt w:val="bullet"/>
      <w:start w:val="1"/>
    </w:lvl>
  </w:abstractNum>
  <w:abstractNum w:abstractNumId="153">
    <w:nsid w:val="5CB44A05"/>
    <w:multiLevelType w:val="hybridMultilevel"/>
    <w:lvl w:ilvl="0">
      <w:lvlJc w:val="left"/>
      <w:lvlText w:val="q"/>
      <w:numFmt w:val="bullet"/>
      <w:start w:val="1"/>
    </w:lvl>
  </w:abstractNum>
  <w:abstractNum w:abstractNumId="154">
    <w:nsid w:val="16CF80F1"/>
    <w:multiLevelType w:val="hybridMultilevel"/>
    <w:lvl w:ilvl="0">
      <w:lvlJc w:val="left"/>
      <w:lvlText w:val="q"/>
      <w:numFmt w:val="bullet"/>
      <w:start w:val="1"/>
    </w:lvl>
  </w:abstractNum>
  <w:abstractNum w:abstractNumId="155">
    <w:nsid w:val="1C695DEC"/>
    <w:multiLevelType w:val="hybridMultilevel"/>
    <w:lvl w:ilvl="0">
      <w:lvlJc w:val="left"/>
      <w:lvlText w:val="q"/>
      <w:numFmt w:val="bullet"/>
      <w:start w:val="1"/>
    </w:lvl>
  </w:abstractNum>
  <w:abstractNum w:abstractNumId="156">
    <w:nsid w:val="3FCFAED9"/>
    <w:multiLevelType w:val="hybridMultilevel"/>
    <w:lvl w:ilvl="0">
      <w:lvlJc w:val="left"/>
      <w:lvlText w:val="q"/>
      <w:numFmt w:val="bullet"/>
      <w:start w:val="1"/>
    </w:lvl>
  </w:abstractNum>
  <w:abstractNum w:abstractNumId="157">
    <w:nsid w:val="F856867"/>
    <w:multiLevelType w:val="hybridMultilevel"/>
    <w:lvl w:ilvl="0">
      <w:lvlJc w:val="left"/>
      <w:lvlText w:val="%1."/>
      <w:numFmt w:val="decimal"/>
      <w:start w:val="1"/>
    </w:lvl>
    <w:lvl w:ilvl="1">
      <w:lvlJc w:val="left"/>
      <w:lvlText w:val="%2."/>
      <w:numFmt w:val="lowerLetter"/>
      <w:start w:val="1"/>
    </w:lvl>
  </w:abstractNum>
  <w:abstractNum w:abstractNumId="158">
    <w:nsid w:val="11B1CC33"/>
    <w:multiLevelType w:val="hybridMultilevel"/>
    <w:lvl w:ilvl="0">
      <w:lvlJc w:val="left"/>
      <w:lvlText w:val="%1."/>
      <w:numFmt w:val="decimal"/>
      <w:start w:val="1"/>
    </w:lvl>
    <w:lvl w:ilvl="1">
      <w:lvlJc w:val="left"/>
      <w:lvlText w:val="%2."/>
      <w:numFmt w:val="lowerLetter"/>
      <w:start w:val="1"/>
    </w:lvl>
  </w:abstractNum>
  <w:abstractNum w:abstractNumId="159">
    <w:nsid w:val="2E22FBB7"/>
    <w:multiLevelType w:val="hybridMultilevel"/>
    <w:lvl w:ilvl="0">
      <w:lvlJc w:val="left"/>
      <w:lvlText w:val="%1."/>
      <w:numFmt w:val="decimal"/>
      <w:start w:val="1"/>
    </w:lvl>
  </w:abstractNum>
  <w:abstractNum w:abstractNumId="160">
    <w:nsid w:val="29934699"/>
    <w:multiLevelType w:val="hybridMultilevel"/>
    <w:lvl w:ilvl="0">
      <w:lvlJc w:val="left"/>
      <w:lvlText w:val="%1."/>
      <w:numFmt w:val="decimal"/>
      <w:start w:val="1"/>
    </w:lvl>
  </w:abstractNum>
  <w:abstractNum w:abstractNumId="161">
    <w:nsid w:val="77485850"/>
    <w:multiLevelType w:val="hybridMultilevel"/>
    <w:lvl w:ilvl="0">
      <w:lvlJc w:val="left"/>
      <w:lvlText w:val="%1."/>
      <w:numFmt w:val="upperLetter"/>
      <w:start w:val="6"/>
    </w:lvl>
  </w:abstractNum>
  <w:abstractNum w:abstractNumId="162">
    <w:nsid w:val="744939A3"/>
    <w:multiLevelType w:val="hybridMultilevel"/>
    <w:lvl w:ilvl="0">
      <w:lvlJc w:val="left"/>
      <w:lvlText w:val="%1"/>
      <w:numFmt w:val="upperLetter"/>
      <w:start w:val="1"/>
    </w:lvl>
    <w:lvl w:ilvl="1">
      <w:lvlJc w:val="left"/>
      <w:lvlText w:val="(%2)"/>
      <w:numFmt w:val="lowerLetter"/>
      <w:start w:val="9"/>
    </w:lvl>
  </w:abstractNum>
  <w:abstractNum w:abstractNumId="163">
    <w:nsid w:val="4FA0D2E3"/>
    <w:multiLevelType w:val="hybridMultilevel"/>
    <w:lvl w:ilvl="0">
      <w:lvlJc w:val="left"/>
      <w:lvlText w:val="%1."/>
      <w:numFmt w:val="upperLetter"/>
      <w:start w:val="7"/>
    </w:lvl>
    <w:lvl w:ilvl="1">
      <w:lvlJc w:val="left"/>
      <w:lvlText w:val="%2"/>
      <w:numFmt w:val="lowerLetter"/>
      <w:start w:val="1"/>
    </w:lvl>
  </w:abstractNum>
  <w:abstractNum w:abstractNumId="164">
    <w:nsid w:val="6B1D2C14"/>
    <w:multiLevelType w:val="hybridMultilevel"/>
    <w:lvl w:ilvl="0">
      <w:lvlJc w:val="left"/>
      <w:lvlText w:val="%1."/>
      <w:numFmt w:val="upperLetter"/>
      <w:start w:val="9"/>
    </w:lvl>
  </w:abstractNum>
  <w:abstractNum w:abstractNumId="165">
    <w:nsid w:val="68B867D3"/>
    <w:multiLevelType w:val="hybridMultilevel"/>
    <w:lvl w:ilvl="0">
      <w:lvlJc w:val="left"/>
      <w:lvlText w:val="%1."/>
      <w:numFmt w:val="upperLetter"/>
      <w:start w:val="10"/>
    </w:lvl>
  </w:abstractNum>
  <w:abstractNum w:abstractNumId="166">
    <w:nsid w:val="3F7F5DD9"/>
    <w:multiLevelType w:val="hybridMultilevel"/>
    <w:lvl w:ilvl="0">
      <w:lvlJc w:val="left"/>
      <w:lvlText w:val="(%1)"/>
      <w:numFmt w:val="lowerRoman"/>
      <w:start w:val="1"/>
    </w:lvl>
  </w:abstractNum>
  <w:abstractNum w:abstractNumId="167">
    <w:nsid w:val="2AE05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4" Type="http://schemas.openxmlformats.org/officeDocument/2006/relationships/image" Target="media/image138.png"/><Relationship Id="rId163"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145" Type="http://schemas.openxmlformats.org/officeDocument/2006/relationships/hyperlink" Target="https://www.sec.gov/Archives/edgar/data/1990354/000110465924070058/tm2333808d17_ex4-1.htm" TargetMode="External"/><Relationship Id="rId146" Type="http://schemas.openxmlformats.org/officeDocument/2006/relationships/hyperlink" Target="https://www.sec.gov/Archives/edgar/data/1990354/000110465924070058/tm2333808d17_ex4-2.htm" TargetMode="External"/><Relationship Id="rId147" Type="http://schemas.openxmlformats.org/officeDocument/2006/relationships/hyperlink" Target="https://www.sec.gov/Archives/edgar/data/1990354/000110465924070907/tm2416908d1_ex10-1.htm" TargetMode="External"/><Relationship Id="rId148" Type="http://schemas.openxmlformats.org/officeDocument/2006/relationships/hyperlink" Target="https://www.sec.gov/Archives/edgar/data/1990354/000110465924070907/tm2416908d1_ex10-2.htm" TargetMode="External"/><Relationship Id="rId149" Type="http://schemas.openxmlformats.org/officeDocument/2006/relationships/hyperlink" Target="https://www.sec.gov/Archives/edgar/data/1990354/000110465923111613/tm2324110d10_ex10-3.htm" TargetMode="External"/><Relationship Id="rId150" Type="http://schemas.openxmlformats.org/officeDocument/2006/relationships/hyperlink" Target="https://www.sec.gov/Archives/edgar/data/1990354/000110465923111613/tm2324110d10_ex10-4.htm" TargetMode="External"/><Relationship Id="rId151" Type="http://schemas.openxmlformats.org/officeDocument/2006/relationships/hyperlink" Target="https://www.sec.gov/Archives/edgar/data/1990354/000110465923111613/tm2324110d10_ex10-5.htm" TargetMode="External"/><Relationship Id="rId152" Type="http://schemas.openxmlformats.org/officeDocument/2006/relationships/hyperlink" Target="https://www.sec.gov/Archives/edgar/data/1990354/000110465923111613/tm2324110d10_ex10-6.htm" TargetMode="External"/><Relationship Id="rId153" Type="http://schemas.openxmlformats.org/officeDocument/2006/relationships/hyperlink" Target="https://www.sec.gov/Archives/edgar/data/1990354/000110465923111613/tm2324110d10_ex10-7.htm" TargetMode="External"/><Relationship Id="rId155" Type="http://schemas.openxmlformats.org/officeDocument/2006/relationships/hyperlink" Target="https://www.sec.gov/Archives/edgar/data/1990354/000110465923111613/tm2324110d10_ex10-8.htm" TargetMode="External"/><Relationship Id="rId156" Type="http://schemas.openxmlformats.org/officeDocument/2006/relationships/hyperlink" Target="https://www.sec.gov/Archives/edgar/data/1990354/000110465923111613/tm2324110d10_ex10-9.htm" TargetMode="External"/><Relationship Id="rId157" Type="http://schemas.openxmlformats.org/officeDocument/2006/relationships/hyperlink" Target="https://www.sec.gov/Archives/edgar/data/1990354/000110465923111613/tm2324110d10_ex10-10.htm" TargetMode="External"/><Relationship Id="rId158" Type="http://schemas.openxmlformats.org/officeDocument/2006/relationships/hyperlink" Target="https://www.sec.gov/Archives/edgar/data/1990354/000110465924037943/tm2333808d2_ex10-11.htm" TargetMode="External"/><Relationship Id="rId159" Type="http://schemas.openxmlformats.org/officeDocument/2006/relationships/hyperlink" Target="https://www.sec.gov/Archives/edgar/data/1990354/000110465924075658/tm2418391d1_ex10-1.htm" TargetMode="External"/><Relationship Id="rId160" Type="http://schemas.openxmlformats.org/officeDocument/2006/relationships/hyperlink" Target="https://www.sec.gov/Archives/edgar/data/1990354/000110465924132496/tm2432173d1_ex10-1.htm" TargetMode="External"/><Relationship Id="rId161" Type="http://schemas.openxmlformats.org/officeDocument/2006/relationships/hyperlink" Target="https://www.sec.gov/Archives/edgar/data/1990354/000110465923111613/tm2324110d10_ex10-11.htm" TargetMode="External"/><Relationship Id="rId162" Type="http://schemas.openxmlformats.org/officeDocument/2006/relationships/hyperlink" Target="https://www.sec.gov/Archives/edgar/data/1990354/000110465923121865/tm2324110d16_ex10-12.htm" TargetMode="External"/><Relationship Id="rId164" Type="http://schemas.openxmlformats.org/officeDocument/2006/relationships/hyperlink" Target="https://www.sec.gov/Archives/edgar/data/1990354/000110465923111613/tm2324110d10_ex10-12.htm" TargetMode="External"/><Relationship Id="rId165" Type="http://schemas.openxmlformats.org/officeDocument/2006/relationships/hyperlink" Target="https://www.sec.gov/Archives/edgar/data/1990354/000110465923111613/tm2324110d10_ex10-13.htm" TargetMode="External"/><Relationship Id="rId166" Type="http://schemas.openxmlformats.org/officeDocument/2006/relationships/hyperlink" Target="https://www.sec.gov/Archives/edgar/data/1990354/000110465923111613/tm2324110d10_ex10-14.htm" TargetMode="External"/><Relationship Id="rId167" Type="http://schemas.openxmlformats.org/officeDocument/2006/relationships/hyperlink" Target="https://www.sec.gov/Archives/edgar/data/1990354/000110465923111613/tm2324110d10_ex10-15.htm" TargetMode="External"/><Relationship Id="rId168" Type="http://schemas.openxmlformats.org/officeDocument/2006/relationships/hyperlink" Target="https://www.sec.gov/Archives/edgar/data/1990354/000110465924070058/tm2333808d17_ex4-6.htm" TargetMode="External"/><Relationship Id="rId169" Type="http://schemas.openxmlformats.org/officeDocument/2006/relationships/hyperlink" Target="https://www.sec.gov/Archives/edgar/data/1990354/000110465924062377/tm233380874_ex10-19.htm" TargetMode="External"/><Relationship Id="rId170" Type="http://schemas.openxmlformats.org/officeDocument/2006/relationships/hyperlink" Target="https://www.sec.gov/Archives/edgar/data/1990354/000110465924062377/tm233380874_ex10-20.htm" TargetMode="External"/><Relationship Id="rId171" Type="http://schemas.openxmlformats.org/officeDocument/2006/relationships/hyperlink" Target="https://www.sec.gov/Archives/edgar/data/1990354/000110465924062377/tm233380874_ex10-21.htm" TargetMode="External"/><Relationship Id="rId172" Type="http://schemas.openxmlformats.org/officeDocument/2006/relationships/hyperlink" Target="https://www.sec.gov/Archives/edgar/data/1990354/000110465924065282/tm2333808d11_ex10-22.htm" TargetMode="External"/><Relationship Id="rId173" Type="http://schemas.openxmlformats.org/officeDocument/2006/relationships/hyperlink" Target="https://www.sec.gov/Archives/edgar/data/1990354/000110465924070058/tm2333808d17_ex4-11.htm" TargetMode="External"/><Relationship Id="rId174" Type="http://schemas.openxmlformats.org/officeDocument/2006/relationships/hyperlink" Target="https://www.sec.gov/Archives/edgar/data/1990354/000141057824001768/way-20240930xex10d1.htm" TargetMode="External"/><Relationship Id="rId175" Type="http://schemas.openxmlformats.org/officeDocument/2006/relationships/hyperlink" Target="https://www.sec.gov/Archives/edgar/data/1990354/000110465924065282/tm2333808d11_ex10-24.htm" TargetMode="External"/><Relationship Id="rId176" Type="http://schemas.openxmlformats.org/officeDocument/2006/relationships/hyperlink" Target="https://www.sec.gov/Archives/edgar/data/1990354/000110465924070907/tm2416908d1_ex10-6.htm" TargetMode="External"/><Relationship Id="rId177" Type="http://schemas.openxmlformats.org/officeDocument/2006/relationships/hyperlink" Target="https://www.sec.gov/Archives/edgar/data/1990354/000110465923111613/tm2324110d10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2025-02-18T05:55:30Z</dcterms:created>
  <dcterms:modified xsi:type="dcterms:W3CDTF">2025-02-18T05:55:30Z</dcterms:modified>
</cp:coreProperties>
</file>