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55712.xml.htm"/>
      <w:bookmarkStart w:id="1" w:name="kswkform4_17884557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Hawkins Matthew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954"/>
        <w:gridCol w:w="423"/>
        <w:gridCol w:w="983"/>
        <w:gridCol w:w="1294"/>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30,287</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25.73</w:t>
            </w:r>
          </w:p>
        </w:tc>
        <w:tc>
          <w:tcPr>
            <w:tcW w:w="12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1,804,794</w:t>
            </w:r>
            <w:r>
              <w:rPr>
                <w:rFonts w:ascii="Times;serif" w:hAnsi="Times;serif"/>
                <w:color w:val="008000"/>
                <w:position w:val="7"/>
                <w:sz w:val="16"/>
                <w:sz w:val="20"/>
                <w:shd w:fill="FFFFFF" w:val="clear"/>
              </w:rPr>
              <w:t>(2)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p>
        </w:tc>
        <w:tc>
          <w:tcPr>
            <w:tcW w:w="12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1,887,294</w:t>
            </w:r>
            <w:r>
              <w:rPr>
                <w:rFonts w:ascii="Times;serif" w:hAnsi="Times;serif"/>
                <w:color w:val="008000"/>
                <w:position w:val="7"/>
                <w:sz w:val="16"/>
                <w:sz w:val="20"/>
                <w:shd w:fill="FFFFFF" w:val="clear"/>
              </w:rPr>
              <w:t>(2)(3)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82,500</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25.9707</w:t>
            </w:r>
            <w:r>
              <w:rPr>
                <w:rFonts w:ascii="Times;serif" w:hAnsi="Times;serif"/>
                <w:color w:val="008000"/>
                <w:position w:val="7"/>
                <w:sz w:val="16"/>
                <w:sz w:val="20"/>
                <w:shd w:fill="FFFFFF" w:val="clear"/>
              </w:rPr>
              <w:t>(4)</w:t>
            </w:r>
          </w:p>
        </w:tc>
        <w:tc>
          <w:tcPr>
            <w:tcW w:w="12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1,804,794</w:t>
            </w:r>
            <w:r>
              <w:rPr>
                <w:rFonts w:ascii="Times;serif" w:hAnsi="Times;serif"/>
                <w:color w:val="008000"/>
                <w:position w:val="7"/>
                <w:sz w:val="16"/>
                <w:sz w:val="20"/>
                <w:shd w:fill="FFFFFF" w:val="clear"/>
              </w:rPr>
              <w:t>(2)(3)</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5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1101"/>
        <w:gridCol w:w="801"/>
        <w:gridCol w:w="96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1,510,098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1,592,598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1,510,098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(6)</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66,374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(6)</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2024 grantor retained annuity trust</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2025 grantor retained annuity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represents shares of common stock withheld to pay taxes upon vesting of restricted stock units (RSUs) granted to the Reporting Person on April 1, 2025. The number of shares withheld was determined based on the actual sale price of shares sold on September 1, 2026 pursuant to a "sell-to-cover" transaction. The vesting schedule for this RSU grant, as originally reported on the Reporting Person's prior Form 4, was modified by the Talent &amp; Compensation Committee. The original vesting schedule provided for 40% vesting on the third anniversary of the Vesting Commencement Date and 60% vesting on the fourth anniversary of the Vesting Commencement Date. The modified vesting schedule provides for 25% vesting on September 1, 2026, and 25% vesting on each of the second, third, and fourth anniversaries of the Vesting Commencement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transactions occurred automatically pursuant to a plan adopted by the Reporting Person on March 13, 2026 that is intended to satisfy the affirmative defense conditions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of common stock, par value $0.01 per share ("Common Stock") of Waystar Holding Corp. (the "Issuer") were sold in multiple transactions ranging from $25.51 to $26.51, inclusive. The Reporting Person undertakes to provide to the Issuer, any security holder of the Issuer, or the staff of the Securities and Exchange Commission, upon request, full information regarding the number of shares of Common Stock sold at each separate price 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options are currently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annuity payments resulting in a change in the form of beneficial ownership (direct and trust holdings) without a change in pecuniary interest, exempt under Rule 16a-13.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8256"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946</Words>
  <Characters>5116</Characters>
  <CharactersWithSpaces>5935</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