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3" w:lineRule="exact"/>
        <w:rPr>
          <w:sz w:val="24"/>
          <w:szCs w:val="24"/>
          <w:color w:val="auto"/>
        </w:rPr>
      </w:pPr>
    </w:p>
    <w:p>
      <w:pPr>
        <w:ind w:left="400" w:hanging="392"/>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rFonts w:ascii="Wingdings" w:cs="Wingdings" w:eastAsia="Wingdings" w:hAnsi="Wingdings"/>
          <w:sz w:val="18"/>
          <w:szCs w:val="18"/>
          <w:b w:val="1"/>
          <w:bCs w:val="1"/>
          <w:color w:val="auto"/>
        </w:rPr>
      </w:pPr>
    </w:p>
    <w:p>
      <w:pPr>
        <w:ind w:left="4060"/>
        <w:spacing w:after="0"/>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 to ______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001-42125</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Waystar Holding Corp.</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64"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84-2886542</w:t>
            </w:r>
          </w:p>
        </w:tc>
      </w:tr>
      <w:tr>
        <w:trPr>
          <w:trHeight w:val="233"/>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503"/>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1550 Digital Drive, #300</w:t>
            </w:r>
          </w:p>
        </w:tc>
        <w:tc>
          <w:tcPr>
            <w:tcW w:w="3080" w:type="dxa"/>
            <w:vAlign w:val="bottom"/>
          </w:tcPr>
          <w:p>
            <w:pPr>
              <w:spacing w:after="0"/>
              <w:rPr>
                <w:sz w:val="24"/>
                <w:szCs w:val="24"/>
                <w:color w:val="auto"/>
              </w:rPr>
            </w:pPr>
          </w:p>
        </w:tc>
      </w:tr>
      <w:tr>
        <w:trPr>
          <w:trHeight w:val="212"/>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Lehi, Utah 84043</w:t>
            </w:r>
          </w:p>
        </w:tc>
        <w:tc>
          <w:tcPr>
            <w:tcW w:w="3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84043</w:t>
            </w:r>
          </w:p>
        </w:tc>
      </w:tr>
      <w:tr>
        <w:trPr>
          <w:trHeight w:val="243"/>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(844) 492-9782</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7"/>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WAY</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62" w:lineRule="exact"/>
        <w:rPr>
          <w:sz w:val="24"/>
          <w:szCs w:val="24"/>
          <w:color w:val="auto"/>
        </w:rPr>
      </w:pPr>
    </w:p>
    <w:p>
      <w:pPr>
        <w:ind w:right="36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1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jc w:val="right"/>
              <w:ind w:right="119"/>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Accelerated filer</w:t>
            </w:r>
          </w:p>
        </w:tc>
        <w:tc>
          <w:tcPr>
            <w:tcW w:w="190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jc w:val="right"/>
              <w:ind w:right="119"/>
              <w:spacing w:after="0"/>
              <w:rPr>
                <w:sz w:val="20"/>
                <w:szCs w:val="20"/>
                <w:color w:val="auto"/>
              </w:rPr>
            </w:pPr>
            <w:r>
              <w:rPr>
                <w:rFonts w:ascii="Wingdings" w:cs="Wingdings" w:eastAsia="Wingdings" w:hAnsi="Wingdings"/>
                <w:sz w:val="16"/>
                <w:szCs w:val="16"/>
                <w:b w:val="1"/>
                <w:bCs w:val="1"/>
                <w:color w:val="auto"/>
              </w:rPr>
              <w:t>x</w:t>
            </w:r>
          </w:p>
        </w:tc>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0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7"/>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00" w:type="dxa"/>
            <w:vAlign w:val="bottom"/>
          </w:tcPr>
          <w:p>
            <w:pPr>
              <w:ind w:left="1740"/>
              <w:spacing w:after="0"/>
              <w:rPr>
                <w:sz w:val="20"/>
                <w:szCs w:val="20"/>
                <w:color w:val="auto"/>
              </w:rPr>
            </w:pPr>
            <w:r>
              <w:rPr>
                <w:rFonts w:ascii="Wingdings" w:cs="Wingdings" w:eastAsia="Wingdings" w:hAnsi="Wingdings"/>
                <w:sz w:val="16"/>
                <w:szCs w:val="16"/>
                <w:b w:val="1"/>
                <w:bCs w:val="1"/>
                <w:color w:val="auto"/>
                <w:w w:val="82"/>
              </w:rPr>
              <w:t>x</w:t>
            </w:r>
          </w:p>
        </w:tc>
      </w:tr>
    </w:tbl>
    <w:p>
      <w:pPr>
        <w:spacing w:after="0" w:line="195" w:lineRule="exact"/>
        <w:rPr>
          <w:sz w:val="24"/>
          <w:szCs w:val="24"/>
          <w:color w:val="auto"/>
        </w:rPr>
      </w:pPr>
    </w:p>
    <w:p>
      <w:pPr>
        <w:ind w:right="56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362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registrant had outstanding 174,238,972 shares of common stock as of July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definitions apply to these terms as used in this Quarterly Report on Form 10-Q:</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“Bain” means those certain investment funds of Bain Capital, LP and its affiliates;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“CPPIB” means Canada Pension Plan Investment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Facilities” means, collectively, the First Lien Credit Facility, the Revolving Credit Facility, and the Receivables Facility;</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“Derby Topco” means Derby TopCo Partnership LP, our direct parent entity prior to the Equity Distribution, in which the Institutional Investors, other equity holders, and certain members of management previously held equity interests;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“EQT” means those certain investment funds of EQT AB and its affiliates;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“Equity Distribution” means the distribution of shares of common stock of the Company held by Derby TopCo to the limited partners of Derby TopCo in accordance with the limited partnership agreement of Derby Topco, which distribution occurred in connection with our initial public offering. Following the Equity Distribution, EQT, CPPIB, Bain, and other equity holders, including members of management, directly hold shares of common stock of the Company;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22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“First Lien Credit Facility” means the term loan credit facility under the first lien credit agreement, dated as of October 22, 2019, by and among Waystar Technologies, Inc. and the lenders party thereto, as amended from time to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“GAAP” means U.S. generally accepted accounting principles;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“Institutional Investors” means EQT, CPPIB, and Bain, and their respective affiliates;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“JOBS Act” means the U.S. Jumpstart Our Business Startups Act of 2012, as amended;</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Revenue Retention Rate” means the total amount invoiced to clients in a given twelve-month period divided by the total amount invoiced to those same clients from the prior twelve-month period. See “Management’s Discussion and Analysis of Financial Condition and Results of Operations—Key Performance Metrics and Non-GAAP Financial Measures—Net Revenue Retention Rate”;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“2024 Form 10-K” means the 2024 Form 10-K filed with the SEC by Waystar Holding Corp. on February 18, 2025;</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“Receivables Facility” means the receivables facility under the receivables financing agreement, dated as of August 13, 2021, by and among Waystar RC LLC, PNC Bank, National Association, as administrative agent, Waystar Technologies, Inc., as initial servicer, and PNC Capital Markets LLC, as structuring agent, as amended from time to time;</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“Revolving Credit Facility” means the revolving credit facility under the first lien credit agreement, dated as of October 22, 2019, by and among Waystar Technologies, Inc. and the lenders party thereto, as amended from time to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“Second Lien Credit Facility” means the term loan credit facility under the second lien credit agreement, dated as of October 22, 2019, by and among Waystar Technologies, Inc. and the lenders party thereto, as amended from time to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“SOFR” means the Secured Overnight Financing Rate;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“Waystar,” the “Company,” “we,” “us,” and “our” mean the business of Waystar Holding Corp.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Certain numerical figures have been subject to rounding adjustments. Accordingly, numerical figures shown as totals in various tables may not be arithmetic aggregations of the figures that precede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throughout this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report.</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in a highly competitive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 and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business strategies in order to grow;</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assess the risks related to acquisitions and successfully integrate acquired businesses, including the previously announced acquisition of Iodine Software Holdings, Inc. (“Iodine”);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clients and overall healthcare transaction volumes;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selling cycle of variable length to secure new client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cycle that is dependent on our clients’ timing and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certain key employees, and our ability to attract and retain highly skilled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estimates and assumptions we use to determine the size of our total addressable market;</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solutions, or enhance our existing solutions, to respond to technological changes, or evolving industry standards;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interoperability, connectivity, and integration of our solutions with our clients’ and their vendors’ networks and infrastructures;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reliability of internet, mobile, and other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if we cannot obtain, process, use, disclose, or distribute the highly regulated data we require to provide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third-party vendors and providers;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errors or malfunctions in our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clients to obtain proper permissions or provide us with accurate and appropriate information;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embezzlement, identity theft, or other similar illegal behavior by our employees or vendors, and a failure of our employees or vendors to observe quality standards or adhere to environmental, social, and governance standards;</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applicable rules of the National Automated Clearing House Association and the applicable requirements of card networks;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card network fees and other changes to fee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payer and provider conduct which we cannot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concerns and security breaches or incidents relating to our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 and evolving laws and regulations regarding privacy, data protection, and cybersecurity;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and enforce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or license data and integrate third-party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or otherwise violating their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that our employees, consultants, or independent contractors have wrongfully used or disclosed confidential information of third parties;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heavily regulated industry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healthcare regulatory and political framework;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laws and data privacy and security laws and regulations governing our Processing of personal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revenues in response to changes to the healthcare regulatory landscape;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 that could result in adverse outcomes;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requiring compliance with certain provisions of Bank Secrecy Act/anti-money laundering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laws that regulate our ability to engage in certain marketing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 compliance with website accessibility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tax rates, the adoption of new tax legislation, or exposure to additional tax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use our net operating losses to offset future taxable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agreements governing our Credit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additional capital on acceptable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macroeconomic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and our ability to achieve or maintain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Institutional Investors may be different than the interests of other holders of our securities;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and whether the reduced disclosure requirements applicable to “emerging growth companies” will make our common stock less attractive to investors; and</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elsewhere in this report, including under the headings “Management’s Discussion and Analysis of Financial Condition and Results of Operations,” “Quantitative and Qualitative Disclosures About Market Risk” and Part II, Item 1A, “Risk Factors” or as described under the heading “Risk factors” in our 2024 Form 10-K, or as described in the other documents and reports we file with the SEC.</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report.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Any forward-looking statements made by us in this report speak only as of the date of this report and are expressly qualified in their entirety by the cautionary statements included in this report.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financial and other material information using our Investor Relations website (investors.waystar.com),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report or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8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7500" w:type="dxa"/>
            <w:vAlign w:val="bottom"/>
            <w:gridSpan w:val="12"/>
            <w:vMerge w:val="restart"/>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320" w:type="dxa"/>
            <w:vAlign w:val="bottom"/>
            <w:tcBorders>
              <w:bottom w:val="single" w:sz="8" w:color="0000FF"/>
            </w:tcBorders>
            <w:gridSpan w:val="11"/>
            <w:vMerge w:val="continue"/>
          </w:tcPr>
          <w:p>
            <w:pPr>
              <w:spacing w:after="0"/>
              <w:rPr>
                <w:sz w:val="15"/>
                <w:szCs w:val="15"/>
                <w:color w:val="auto"/>
              </w:rPr>
            </w:pPr>
          </w:p>
        </w:tc>
        <w:tc>
          <w:tcPr>
            <w:tcW w:w="7500" w:type="dxa"/>
            <w:vAlign w:val="bottom"/>
            <w:gridSpan w:val="12"/>
            <w:vMerge w:val="continue"/>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w:t>
            </w:r>
          </w:p>
        </w:tc>
        <w:tc>
          <w:tcPr>
            <w:tcW w:w="5680" w:type="dxa"/>
            <w:vAlign w:val="bottom"/>
            <w:gridSpan w:val="9"/>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r>
              <w:rPr>
                <w:rFonts w:ascii="Times New Roman" w:cs="Times New Roman" w:eastAsia="Times New Roman" w:hAnsi="Times New Roman"/>
                <w:sz w:val="18"/>
                <w:szCs w:val="18"/>
                <w:color w:val="00000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w:t>
            </w:r>
          </w:p>
        </w:tc>
        <w:tc>
          <w:tcPr>
            <w:tcW w:w="1520" w:type="dxa"/>
            <w:vAlign w:val="bottom"/>
            <w:tcBorders>
              <w:top w:val="single" w:sz="8" w:color="0000FF"/>
            </w:tcBorders>
            <w:gridSpan w:val="4"/>
          </w:tcPr>
          <w:p>
            <w:pPr>
              <w:spacing w:after="0"/>
              <w:rPr>
                <w:sz w:val="21"/>
                <w:szCs w:val="21"/>
                <w:color w:val="auto"/>
              </w:rPr>
            </w:pPr>
          </w:p>
        </w:tc>
        <w:tc>
          <w:tcPr>
            <w:tcW w:w="3380" w:type="dxa"/>
            <w:vAlign w:val="bottom"/>
            <w:gridSpan w:val="3"/>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620" w:type="dxa"/>
            <w:vAlign w:val="bottom"/>
            <w:gridSpan w:val="5"/>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640" w:type="dxa"/>
            <w:vAlign w:val="bottom"/>
            <w:gridSpan w:val="2"/>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740" w:type="dxa"/>
            <w:vAlign w:val="bottom"/>
            <w:gridSpan w:val="6"/>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320" w:type="dxa"/>
            <w:vAlign w:val="bottom"/>
            <w:gridSpan w:val="11"/>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0" w:type="dxa"/>
            <w:vAlign w:val="bottom"/>
            <w:tcBorders>
              <w:top w:val="single" w:sz="8" w:color="0000FF"/>
            </w:tcBorders>
          </w:tcPr>
          <w:p>
            <w:pPr>
              <w:spacing w:after="0"/>
              <w:rPr>
                <w:sz w:val="21"/>
                <w:szCs w:val="21"/>
                <w:color w:val="auto"/>
              </w:rPr>
            </w:pPr>
          </w:p>
        </w:tc>
        <w:tc>
          <w:tcPr>
            <w:tcW w:w="7700" w:type="dxa"/>
            <w:vAlign w:val="bottom"/>
            <w:gridSpan w:val="14"/>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060" w:type="dxa"/>
            <w:vAlign w:val="bottom"/>
            <w:gridSpan w:val="17"/>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Use of Proceeds and Issuer Purchase of Securities</w:t>
            </w:r>
          </w:p>
        </w:tc>
        <w:tc>
          <w:tcPr>
            <w:tcW w:w="2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tcPr>
          <w:p>
            <w:pPr>
              <w:spacing w:after="0"/>
              <w:rPr>
                <w:sz w:val="21"/>
                <w:szCs w:val="21"/>
                <w:color w:val="auto"/>
              </w:rPr>
            </w:pPr>
          </w:p>
        </w:tc>
        <w:tc>
          <w:tcPr>
            <w:tcW w:w="6780" w:type="dxa"/>
            <w:vAlign w:val="bottom"/>
            <w:gridSpan w:val="10"/>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7780" w:type="dxa"/>
            <w:vAlign w:val="bottom"/>
            <w:gridSpan w:val="16"/>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(in Thousands, Except for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290,300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of $6,104 at June 30, 2025 and $5,885 at December 31, 2024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145,235</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371,041</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1,039,049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3,019,999</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costs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4,677,922</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4,577,004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47,365</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Aggregated funds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37"/>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152,840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 net,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1,185,411</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long-term debt, net, less current portion</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1,504,782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1,497,218</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$0.01 par value - 100,000,000 and 100,000,000 shares authorized as of June 30,</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December 31, 2024, respectively; zero shares issued or outstanding as of June 30, 2025</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2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$0.01 par value - 2,500,000,000 and 2,500,000,000 shares authorized at June 30,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December 31, 2024, respectively; 174,146,070 and 172,108,240 shares issued and</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41"/>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3,298,083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43"/>
        </w:trPr>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(220,900)</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3,173,140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3,079,786</w:t>
            </w:r>
          </w:p>
        </w:tc>
        <w:tc>
          <w:tcPr>
            <w:tcW w:w="0" w:type="dxa"/>
            <w:vAlign w:val="bottom"/>
          </w:tcPr>
          <w:p>
            <w:pPr>
              <w:spacing w:after="0"/>
              <w:rPr>
                <w:sz w:val="1"/>
                <w:szCs w:val="1"/>
                <w:color w:val="auto"/>
              </w:rPr>
            </w:pPr>
          </w:p>
        </w:tc>
      </w:tr>
      <w:tr>
        <w:trPr>
          <w:trHeight w:val="264"/>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4,677,922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4,577,004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121" w:right="339" w:bottom="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40"/>
          </w:cols>
          <w:pgMar w:left="320" w:top="121" w:right="339" w:bottom="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(in Thousands, Except for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459,335</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155,643</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66,090</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88,450</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415,899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(105,007)</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(64,289)</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173,358,382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133,527,766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172,467,988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127,601,532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181,599,133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133,527,766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181,076,149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127,601,532</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32,184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income/(loss), net of tax</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31,437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right="420" w:hanging="332"/>
        <w:spacing w:after="0" w:line="28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reclassified out of accumulated other comprehensive income/(loss) into net interest expense included $1,257 and $8,695 for the three months ended June 30, 2025 and 2024, respectively, and included $1,889 and $17,297 for the six months ended June 30, 2025 and 2024, respectively.</w:t>
      </w:r>
    </w:p>
    <w:p>
      <w:pPr>
        <w:spacing w:after="0" w:line="175" w:lineRule="exact"/>
        <w:rPr>
          <w:rFonts w:ascii="Times New Roman" w:cs="Times New Roman" w:eastAsia="Times New Roman" w:hAnsi="Times New Roman"/>
          <w:sz w:val="14"/>
          <w:szCs w:val="14"/>
          <w:color w:val="auto"/>
        </w:rPr>
      </w:pPr>
    </w:p>
    <w:p>
      <w:pPr>
        <w:ind w:left="340" w:right="52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effects of amounts reclassified out of accumulated other comprehensive income/(loss) were ($309) and ($2,111) for the three months ended June 30, 2025 and 2024, respectively, and $(465) and $(4,200) for the six months ended June 30, 2025 and 2024, respectively.</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(in Thousands, Except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620" w:type="dxa"/>
            <w:vAlign w:val="bottom"/>
          </w:tcPr>
          <w:p>
            <w:pPr>
              <w:spacing w:after="0"/>
              <w:rPr>
                <w:sz w:val="8"/>
                <w:szCs w:val="8"/>
                <w:color w:val="auto"/>
              </w:rPr>
            </w:pPr>
          </w:p>
        </w:tc>
        <w:tc>
          <w:tcPr>
            <w:tcW w:w="236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8"/>
                <w:szCs w:val="8"/>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8"/>
                <w:szCs w:val="18"/>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172,963,709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3,125,912</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common stock options, net of stock</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exercises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174,146,070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3,173,140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restart"/>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7"/>
                <w:szCs w:val="17"/>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6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121,659,634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2,035,487</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common stock options, net of stock</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exercises</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distributions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in initial public</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905,517</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6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166,659,634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3,178,697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2,946,098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(in Thousands, Except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3460" w:type="dxa"/>
            <w:vAlign w:val="bottom"/>
          </w:tcPr>
          <w:p>
            <w:pPr>
              <w:spacing w:after="0"/>
              <w:rPr>
                <w:sz w:val="8"/>
                <w:szCs w:val="8"/>
                <w:color w:val="auto"/>
              </w:rPr>
            </w:pPr>
          </w:p>
        </w:tc>
        <w:tc>
          <w:tcPr>
            <w:tcW w:w="236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restart"/>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8"/>
                <w:szCs w:val="8"/>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4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172,108,240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3,079,786</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common stock options, net of</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174,146,070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3,331,277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3,173,140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460" w:type="dxa"/>
            <w:vAlign w:val="bottom"/>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gridSpan w:val="2"/>
            <w:vMerge w:val="restart"/>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17"/>
                <w:szCs w:val="17"/>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46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121,679,902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2,049,932</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common stock options, net of</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distributions</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initial public</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905,517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166,659,634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2,946,098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90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79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(43,617)</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income/(loss) to net cash provided by operating activities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88,450</w:t>
            </w:r>
          </w:p>
        </w:tc>
      </w:tr>
      <w:tr>
        <w:trPr>
          <w:trHeight w:val="25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39,497</w:t>
            </w:r>
          </w:p>
        </w:tc>
      </w:tr>
      <w:tr>
        <w:trPr>
          <w:trHeight w:val="233"/>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r>
      <w:tr>
        <w:trPr>
          <w:trHeight w:val="25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19,016</w:t>
            </w:r>
          </w:p>
        </w:tc>
      </w:tr>
      <w:tr>
        <w:trPr>
          <w:trHeight w:val="233"/>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(42,377)</w:t>
            </w:r>
          </w:p>
        </w:tc>
      </w:tr>
      <w:tr>
        <w:trPr>
          <w:trHeight w:val="25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r>
      <w:tr>
        <w:trPr>
          <w:trHeight w:val="233"/>
        </w:trPr>
        <w:tc>
          <w:tcPr>
            <w:tcW w:w="7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5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Changes in: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(22,932)</w:t>
            </w:r>
          </w:p>
        </w:tc>
      </w:tr>
      <w:tr>
        <w:trPr>
          <w:trHeight w:val="25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refundable</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r>
      <w:tr>
        <w:trPr>
          <w:trHeight w:val="233"/>
        </w:trPr>
        <w:tc>
          <w:tcPr>
            <w:tcW w:w="7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25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costs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w:t>
            </w:r>
          </w:p>
        </w:tc>
      </w:tr>
      <w:tr>
        <w:trPr>
          <w:trHeight w:val="233"/>
        </w:trPr>
        <w:tc>
          <w:tcPr>
            <w:tcW w:w="7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long-term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5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w:t>
            </w:r>
          </w:p>
        </w:tc>
      </w:tr>
      <w:tr>
        <w:trPr>
          <w:trHeight w:val="233"/>
        </w:trPr>
        <w:tc>
          <w:tcPr>
            <w:tcW w:w="7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r>
      <w:tr>
        <w:trPr>
          <w:trHeight w:val="246"/>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36"/>
        </w:trPr>
        <w:tc>
          <w:tcPr>
            <w:tcW w:w="79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161,009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property and equipment and capitalization of internally developed software costs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(12,428)</w:t>
            </w:r>
          </w:p>
        </w:tc>
      </w:tr>
      <w:tr>
        <w:trPr>
          <w:trHeight w:val="246"/>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9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aggregated funds liability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r>
      <w:tr>
        <w:trPr>
          <w:trHeight w:val="253"/>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914,288</w:t>
            </w: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of third-party IPO issuance costs</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53"/>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of shares</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issuances of debt, net of creditor fees</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535,209</w:t>
            </w: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on debt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(1,425,874)</w:t>
            </w:r>
          </w:p>
        </w:tc>
      </w:tr>
      <w:tr>
        <w:trPr>
          <w:trHeight w:val="253"/>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Third-party fees paid in connection with issuance of new debt</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37"/>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Finance lease liabilities paid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36"/>
        </w:trPr>
        <w:tc>
          <w:tcPr>
            <w:tcW w:w="7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21,278</w:t>
            </w:r>
          </w:p>
        </w:tc>
      </w:tr>
      <w:tr>
        <w:trPr>
          <w:trHeight w:val="23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cash and cash equivalents during the period</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106,887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35,030</w:t>
            </w:r>
          </w:p>
        </w:tc>
      </w:tr>
      <w:tr>
        <w:trPr>
          <w:trHeight w:val="24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cash–beginning of period</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204,582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45,428</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cash–end of period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311,469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80,458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82,264</w:t>
            </w:r>
          </w:p>
        </w:tc>
      </w:tr>
      <w:tr>
        <w:trPr>
          <w:trHeight w:val="253"/>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taxes paid (refunds received), net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26,141</w:t>
            </w:r>
          </w:p>
        </w:tc>
      </w:tr>
      <w:tr>
        <w:trPr>
          <w:trHeight w:val="23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Fixed asset purchases in accounts payable</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33"/>
        </w:trPr>
        <w:tc>
          <w:tcPr>
            <w:tcW w:w="7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Unpaid third-party IPO issuance costs</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5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Balance Sheet Cash Accounts to Cash Flow Statement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 sheet</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290,300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68,375</w:t>
            </w:r>
          </w:p>
        </w:tc>
      </w:tr>
      <w:tr>
        <w:trPr>
          <w:trHeight w:val="236"/>
        </w:trPr>
        <w:tc>
          <w:tcPr>
            <w:tcW w:w="7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12,083</w:t>
            </w:r>
          </w:p>
        </w:tc>
      </w:tr>
      <w:tr>
        <w:trPr>
          <w:trHeight w:val="268"/>
        </w:trPr>
        <w:tc>
          <w:tcPr>
            <w:tcW w:w="7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311,469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180"/>
          </w:cols>
          <w:pgMar w:left="320" w:top="121" w:right="39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01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Waystar Holding Corp. (“Waystar”, “we”, “us” or “our”) is a provider of mission-critical cloud technology to healthcare organizations. Our enterprise-grade platform transforms the complex and disparate processes comprising healthcare payments received by healthcare providers from payers and patients, from pre-service engagement through post-service remittance and reconciliation. Our platform enhances data integrity, eliminates manual tasks, and improves claim and billing accuracy, which results in better transparency, reduced labor costs, and faster, more accurate reimbursement and cash flow. The market for our solutions extends throughout the United States and includes Puerto Rico and other U.S. Territories.</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Risks and Uncertainties— </w:t>
      </w:r>
      <w:r>
        <w:rPr>
          <w:rFonts w:ascii="Times New Roman" w:cs="Times New Roman" w:eastAsia="Times New Roman" w:hAnsi="Times New Roman"/>
          <w:sz w:val="18"/>
          <w:szCs w:val="18"/>
          <w:color w:val="auto"/>
        </w:rPr>
        <w:t>We are subject to risks common to companies in similar industries, including, but not limited to, our operation in a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industry, our ability to retain our existing clients and attract new clients,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impact of government regulations on our market, and our reliance on certain third-party vendors and providers.</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third-party with respect to its technology. The terms of these indemnification agreements are generally perpetual any time after the execution of the agreement. The maximum potential future payments we could be required to make under these agreements is not determinable because it involves claims that may be made against us in the future but have not yet been made. Historically, we have not incurred costs to defend lawsuits or settle claims related to these indemnification agreements.</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entered into agreements with our directors or officers that may require us to indemnify them against liabilities that may arise by reason of their status or service as directors or officers, other than liabilities arising from their willful misconduct.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liability associated with such indemnifications was recorded as of June 30, 2025 and December 31, 2024.</w:t>
      </w:r>
    </w:p>
    <w:p>
      <w:pPr>
        <w:spacing w:after="0" w:line="221" w:lineRule="exact"/>
        <w:rPr>
          <w:sz w:val="20"/>
          <w:szCs w:val="20"/>
          <w:color w:val="auto"/>
        </w:rPr>
      </w:pPr>
    </w:p>
    <w:p>
      <w:pPr>
        <w:ind w:right="7680" w:firstLine="8"/>
        <w:spacing w:after="0" w:line="532" w:lineRule="auto"/>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Financial Statement Presentation</w:t>
      </w:r>
    </w:p>
    <w:p>
      <w:pPr>
        <w:spacing w:after="0" w:line="1"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financial statements include the consolidated balance sheets, statements of operations, statements of comprehensive income (loss), statements of changes in stockholders’ equity, and statements of cash flows of Waystar and its subsidiaries and have been prepared in accordance with accounting principles generally accepted in the United States of America (“GAAP”).</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six months ended June 30, 2025 are not necessarily indicative of the results for the full year or the results for any future periods. These unaudited consolidated financial statements should be read in conjunction with the audited consolidated financial statements and related notes for the year ended December 31, 2024 in the 2024 Annual Report of Form 10-K filed with the SEC on February 18, 2025 (the “2024 Annual Report”).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us to make estimates and assumptions. These estimates and assumptions affect the reported amounts of assets and liabilities, the disclosures of contingent assets and liabilities as of the date of the financial statements, and the reported amounts of revenues and expenses during the reporting periods. Significant estimates and assumptions are used for, but are not limited to:</w:t>
      </w:r>
    </w:p>
    <w:p>
      <w:pPr>
        <w:spacing w:after="0" w:line="1" w:lineRule="exact"/>
        <w:rPr>
          <w:sz w:val="20"/>
          <w:szCs w:val="20"/>
          <w:color w:val="auto"/>
        </w:rPr>
      </w:pPr>
    </w:p>
    <w:p>
      <w:pPr>
        <w:ind w:right="180"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estimated expected customer life; (2) recoverability of accounts receivable and taxes receivable; (3) impairment assessment of goodwill and long-lived intangible assets; (4) fair value of intangibles acquired in business combinations; (5) litigation reserves; (6) depreciation and amortization; (7) fair value of stock options issued to employees and assumed as part of business combinations; (8) fair value of interest rate swaps; and (9) leases, including incremental borrowing rate. Future events and their effects cannot be predicted with certainty, and accordingly, accounting estimates require the exercise of judgment. We evaluate and update assumptions and estimates on an ongoing basis and may employ outside experts to assist in evaluations. Actual results could differ from the estimates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recognize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through the following five steps:</w:t>
      </w:r>
    </w:p>
    <w:p>
      <w:pPr>
        <w:spacing w:after="0" w:line="22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customers, referred to as clients elsewhere in this report, represent healthcare providers across all types of care settings, including physician practices, clinics, surgical centers, and laboratories, as well as large hospitals and health systems.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The length of our contracts vary but are typically two to three years and generally renew automatically for successive one-year terms. Our revenue is reported net of applicable sales and use tax and is recognized as, or when, control of these services or products are transferred to clients, in an amount that reflects the consideration we expect to be entitled to in exchange for the contract’s performance obligations.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 elapsed output method based on the volume or transaction count at the time the clients’ transactions are processed.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customer's life. Implementation fees and hardware sales represent less than 1% of total revenue for all periods presented.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contracts with clients typically include various combinations of our software solutions. Determining whether such software solutions are considered distinct performance obligations that should be accounted for separately versus together requires significant judgment. Specifically, judgment is required to determine whether access to the Company’s SaaS solutions is distinct from other services and solutions included in an arrangement.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follow the requirements of ASC 606-10-55-36 through -40, Revenue from Contracts with Customers, Principal Agent Considerations, in determining the gross versus net revenue presentations for our performance obligations in the contract with a client. 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our standard payment terms generally require payment within 30 to 60 days. In instances where the timing of revenue recognition differs from the timing of payment, we have determined our contracts do not generally include a significant financing component. The primary purpose of our invoicing terms is to provide clients with simplified and predictable ways of purchasing our products and services, not to receive financing from our clients or to provide clients with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Costs of Obtaining a Contract</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Incremental costs of obtaining a contract primarily include commissions paid to our internal sales personnel. We consider all such commissions to be both incremental and recoverable since they are only paid when a contract is secured. These capitalized costs are amortized on a straight-line basis over the expected period of benefit, which is determined based on the average customer life, which includes anticipated renewals of contracts. As of June 30, 2025 and December 31, 2024, the total unamortized costs reported as deferred costs on our balance sheet amounted to $30.4 million and $29.0 million, respectively, for internal sales commissions. For the three months ended June 30, 2025 and 2024, amortization related to the sales commission asset was $3.2 million and $2.6 million, respectively. For the six months ended June 30, 2025 and 2024, amortization related to the sales commission asset was $6.3 million and $5.0 million, respectively. The aforementioned amortization amounts are included in sales and marketing in our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Fulfill a Contract</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capitalize costs incurred to fulfill contracts that i) relate directly to the contract, ii) are expected to generate resources that will be used to satisfy performance obligations under the contract, and iii) are expected to be recovered through revenue generated under the contract. Costs incurred to implement clients on our solutions (e.g., direct labor) are capitalized and amortized on a straight-line basis over the estimated customer life if we expect to recover those costs. As of June 30, 2025 and December 31, 2024, the total unamortized costs reported as deferred costs on our balance sheet amounted to $57.6 million and $53.8 million, respectively, for fulfillment costs. For the three months ended June 30, 2025 and 2024, amortization related to the fulfillment cost asset was $3.9 million and $3.0 million, respectively. For the six months ended June 30, 2025 and 2024, amortization related to the fulfillment cost asset was $7.6 million and $5.7 million,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aforementioned amortization amounts are included in the costs of revenue in our consolidated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relating to deferred costs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 Partners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account for fees paid to channel partners within sales and marketing expenses in the accompanying statements of operations. For the three months ended June 30, 2025 and 2024, we recorded fees to all channel partners of $19.0 million and $16.1 million, respectively. For the six months ended June 30, 2025 and 2024, we recorded fees to all channel partners of $37.3 million and $30.6 million, respectively. As we are primarily responsible for contracting with and fulfilling contracts for the end user, we record revenue gross of related channel partner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consider highly liquid investments with an original maturity of three months or less to be cash equivalents. We maintain our cash in bank deposit accounts, which, at times, may exceed federally insured limits. We have not experienced any credit losses in such accounts.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short-term investments, which consist of debt securities, are stated at fair value. These debt securities have been categorized as available-for-sale and classified as current assets given their maturity date is twelve months or less. Unrealized holding gains and losses for debt securities, net of applicable deferred taxes, are included in other comprehensive income or loss as a component of stockholders’ equity until realized from a sale or an expected credit loss is recognized. For the purpose of determining realized gross gains and losses for debt securities sold, that are included as a component of interest income/(expense) in the consolidated statements of income, the cost of investment securities sold is based upon specific identification.</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current expected credit losses model expected losses on available for sale debt securities are recognized through an allowance for credit losses rather than as reductions in the amortized cost of securities. For debt securities whose fair value is less than their amortized cost which we do not intend to sell or are not required to sell, we evaluate the expected cash flows to be received as compared to amortized cost and determine if an expected credit loss has occurred. In the event of any expected credit loss, only the amount of impairment associated with the expected credit loss is recognized in income with the remainder, if any, of the loss recognized in other comprehensive income. To the extent we have the intent to sell the debt security, or it is more likely than not we will be required to sell the debt security before recovery of our amortized cost basis, we recognize an impairment loss in income in an amount equal to the full difference between the amortized cost basis and the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relating to our investment securities during the periods presented.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the ASU will be effective for annual periods beginning after December 15, 2024. The guidance will be applied on a prospective basis with the option to apply the standard retrospectively. Early adoption is permitted. We are currently evaluating the effect of the adoption of this amendment on our consolidated and condensed consolidated financial statements.</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November 2024, the FASB issued ASU 2024-13, “Expense Disaggregation Disclosures.” The standard is intended to benefit investors by providing more detailed information about expenses that is critically important in understanding an</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entity’s performance, assessing an entity’s prospects for future cash flows, and comparing an entity’s performance over time and with that of other entities. For public business entities, this ASU will be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We are currently evaluating the effect of the adoption of this amendment on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revenue type and the timing of revenue recognition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28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6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Over time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218,428</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Volume-based revenue</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Over time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238,044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 revenue</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270,654</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459,335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derive our revenue from contracts with clients primarily through subscription fees and volume-based fees. Our payment terms with the client generally comprise an initial payment for implementation services, which includes client enrollment and the setup of contracted solutions on our platform. These implementation fees are due upon contract execution. Additionally, subscription fees are earned on an ongoing basis, which are invoiced monthly.</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Client payments received in advance of fulfilling the corresponding performance obligations are recorded as contract liabilities. Implementation fees are recognized over the customer life, with any unrecognized amounts deferred as contract liabilities. These amounts are reported as deferred revenue on our consolidated balance sheet.</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Revenue recognized from amounts included in deferred revenue as of the beginning of the period was $0.9 million and $0.8 million for the three months ended June 30, 2025 and 2024, respectively. Revenue recognized from the amounts included in deferred revenue as of the beginning of the period was $9.1 million and $9.5 million for the six months ended June 30,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June 30, 2025, the transaction price related to unsatisfied performance obligations that are expected to be recognized for the next 12 months and greater than 12 months was $66.5 million and $13.9 million, respectively.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transaction price allocated to performance obligations that are unsatisfied (or partially unsatisfied) for executed contracts does not include revenue related to performance obligations that are part of a contract with an original expected duration of one year or less.</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Additionally, the balance does not include variable consideration that is allocated entirely to wholly unsatisfied promises that form part of a single performance obligation comprised of a series of distinct daily services.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Remaining performance obligation estimates are subject to change and are affected by several factors, including terminations and changes in the timing and scope of contracts, arising from contract modifications.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evaluated regularly by the chief operating decision maker in deciding how to allocate resources and assessing performance. We have one business activity and there are no segment managers who are held accountable for operations, operating results and plans for products or components below the consolidated unit level. The geographical location of our customers has no impact on strategy or products offered. The “chief operating decision maker,” or CODM, assesses performance and allocates resources using a consolidated profitability metric as discussed below. Accordingly, we have determined that we operate in a single reportable operating segment.</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CODM is our Chief Executive Officer. On a monthly basis, our CODM reviews the following financial information presented on a consolidated basis. The key profitability metric used for purposes of making key personnel staffing decisions, approving operating budgets and forecasts, and making strategy decisions is Net Income as detailed below. See Note 3 for our disaggregated revenue by type.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 &amp; connectivity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 &amp; associated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&amp;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&amp; marketing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non-operating expenses,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income/(loss)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 Securities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unrealized positions for our investment securities classified as available-for-sale fixed-maturity debt securities, disaggregated by class of instrument (in thousands) as of June 30,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Allowances for</w:t>
            </w:r>
          </w:p>
        </w:tc>
        <w:tc>
          <w:tcPr>
            <w:tcW w:w="2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Unrealized</w:t>
            </w:r>
          </w:p>
        </w:tc>
        <w:tc>
          <w:tcPr>
            <w:tcW w:w="220" w:type="dxa"/>
            <w:vAlign w:val="bottom"/>
          </w:tcPr>
          <w:p>
            <w:pPr>
              <w:spacing w:after="0"/>
              <w:rPr>
                <w:sz w:val="18"/>
                <w:szCs w:val="18"/>
                <w:color w:val="auto"/>
              </w:rPr>
            </w:pP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Unrealized</w:t>
            </w:r>
          </w:p>
        </w:tc>
        <w:tc>
          <w:tcPr>
            <w:tcW w:w="260" w:type="dxa"/>
            <w:vAlign w:val="bottom"/>
          </w:tcPr>
          <w:p>
            <w:pPr>
              <w:spacing w:after="0"/>
              <w:rPr>
                <w:sz w:val="18"/>
                <w:szCs w:val="18"/>
                <w:color w:val="auto"/>
              </w:rPr>
            </w:pPr>
          </w:p>
        </w:tc>
        <w:tc>
          <w:tcPr>
            <w:tcW w:w="13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Available-for-sale fixed-maturity</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260" w:type="dxa"/>
            <w:vAlign w:val="bottom"/>
          </w:tcPr>
          <w:p>
            <w:pPr>
              <w:spacing w:after="0"/>
              <w:rPr>
                <w:sz w:val="19"/>
                <w:szCs w:val="19"/>
                <w:color w:val="auto"/>
              </w:rPr>
            </w:pP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50"/>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50,493</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own any available-for-sale fixed-maturity securities as of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financial assets and liabilities measured at fair value on a recurring basis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7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3300" w:type="dxa"/>
            <w:vAlign w:val="bottom"/>
            <w:tcBorders>
              <w:bottom w:val="single" w:sz="8" w:color="CCEEFF"/>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fixed-maturity securities</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00" w:type="dxa"/>
            <w:vAlign w:val="bottom"/>
          </w:tcPr>
          <w:p>
            <w:pPr>
              <w:spacing w:after="0"/>
              <w:rPr>
                <w:sz w:val="21"/>
                <w:szCs w:val="21"/>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Pr>
          <w:p>
            <w:pPr>
              <w:spacing w:after="0"/>
              <w:rPr>
                <w:sz w:val="21"/>
                <w:szCs w:val="21"/>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assets:</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assets:</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fair values of our interest rate swaps are based on the sum of all future net present value cash flows. The future cash flows are derived based on the terms of our interest rate swaps, as well as considering published discount factors, and projected SOFR curve. The fair value of long-term debt was determined using the present value of future cash flows based on the borrowing rates currently available for debt with similar terms and maturities. The carrying value of our first lien term loan facility was $1,157.7 million and $1,163.5 million compared to a fair value of $1,160.6 million and $1,169.4 million at June 30, 2025 and December 31, 2024, respectively. There were no transfers in or out of Level 3 during the periods presented.</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carrying value of cash equivalents, accounts receivable, accounts payable, accrued liabilities, and other current assets and liabilities approximates fair value due to the short maturities of these instruments. Interest rate swaps are Level 2 instruments whose fair value is derived from discounted cash flows adjusted for nonperformance risk. Investment securities are Level 2 instruments whose fair value is observed through market data of similar securities. Money market funds are Level 1 instruments whose fair value is observed through daily quoted prices of similar assets. Money market funds are considered cash equivalents because they have a maturity of less than three months and are highly liquid.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major classes of property and equipment are as follows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7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39,833</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40,281</w:t>
            </w:r>
          </w:p>
        </w:tc>
      </w:tr>
      <w:tr>
        <w:trPr>
          <w:trHeight w:val="27"/>
        </w:trPr>
        <w:tc>
          <w:tcPr>
            <w:tcW w:w="7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computer software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7"/>
        </w:trPr>
        <w:tc>
          <w:tcPr>
            <w:tcW w:w="7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7"/>
        </w:trPr>
        <w:tc>
          <w:tcPr>
            <w:tcW w:w="7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r>
      <w:tr>
        <w:trPr>
          <w:trHeight w:val="237"/>
        </w:trPr>
        <w:tc>
          <w:tcPr>
            <w:tcW w:w="77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137,161</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125,931</w:t>
            </w:r>
          </w:p>
        </w:tc>
      </w:tr>
      <w:tr>
        <w:trPr>
          <w:trHeight w:val="27"/>
        </w:trPr>
        <w:tc>
          <w:tcPr>
            <w:tcW w:w="7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(79,200)</w:t>
            </w:r>
          </w:p>
        </w:tc>
      </w:tr>
      <w:tr>
        <w:trPr>
          <w:trHeight w:val="26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46,731</w:t>
            </w:r>
          </w:p>
        </w:tc>
      </w:tr>
      <w:tr>
        <w:trPr>
          <w:trHeight w:val="21"/>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of fixed assets, including the amortization of capitalized software, for the three months ended June 30, 2025 and 2024 was $5.3 million and $5.2 million, respectively.</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capitalized $4.4 million and $8.9 million in software development costs for the three and six months ended June 30, 2025, respectively. We capitalized $4.0 million and $7.8 million in software developments costs for the three and six months ended June 30, 2024, respectively. Amortization of capitalized software was $3.4 million and $2.4 million for the three months ended June 30, 2025 and 2024, respectively, and was $6.8 million and $4.7 million for the six months ended June 30, 2025 and 2024, respectively. The net book value of capitalized software development costs was $31.7 million and $29.6 million as of June 30, 2025 and December 31,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of property and equipment for the three and six months ended June 30,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Goodwill has a balance of $3,020.0 million as of both June 30, 2025 and December 31, 2024. There were no additions, disposals or impairments to goodwill during the three and six months ended June 30,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for definite-lived intangible assets is as follows (in thousands, except useful life):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(488,170)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(569,082)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982,818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developed technology</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1,551,900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1,039,049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Amortization expense was $28.1 million and $39.1 million for the three months ended June 30, 2025 and 2024, respectively and was $56.2 million and $78.2 million for the six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 for the three and six months ended June 30, 2025 and 2024, respectively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21"/>
                <w:szCs w:val="21"/>
                <w:color w:val="auto"/>
              </w:rPr>
            </w:pP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93"/>
        </w:trPr>
        <w:tc>
          <w:tcPr>
            <w:tcW w:w="6360" w:type="dxa"/>
            <w:vAlign w:val="bottom"/>
            <w:gridSpan w:val="3"/>
          </w:tcPr>
          <w:p>
            <w:pPr>
              <w:jc w:val="right"/>
              <w:ind w:right="619"/>
              <w:spacing w:after="0"/>
              <w:rPr>
                <w:sz w:val="20"/>
                <w:szCs w:val="20"/>
                <w:color w:val="auto"/>
              </w:rPr>
            </w:pPr>
            <w:r>
              <w:rPr>
                <w:rFonts w:ascii="Times New Roman" w:cs="Times New Roman" w:eastAsia="Times New Roman" w:hAnsi="Times New Roman"/>
                <w:sz w:val="18"/>
                <w:szCs w:val="18"/>
                <w:color w:val="auto"/>
                <w:w w:val="99"/>
              </w:rPr>
              <w:t>Maturities of lease liabilities as of June 30, 2025 are as follows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7"/>
        </w:trPr>
        <w:tc>
          <w:tcPr>
            <w:tcW w:w="20" w:type="dxa"/>
            <w:vAlign w:val="bottom"/>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21"/>
                <w:szCs w:val="21"/>
                <w:color w:val="auto"/>
              </w:rPr>
            </w:pPr>
          </w:p>
        </w:tc>
      </w:tr>
      <w:tr>
        <w:trPr>
          <w:trHeight w:val="243"/>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tcPr>
          <w:p>
            <w:pPr>
              <w:spacing w:after="0"/>
              <w:rPr>
                <w:sz w:val="21"/>
                <w:szCs w:val="21"/>
                <w:color w:val="auto"/>
              </w:rPr>
            </w:pPr>
          </w:p>
        </w:tc>
      </w:tr>
      <w:tr>
        <w:trPr>
          <w:trHeight w:val="27"/>
        </w:trPr>
        <w:tc>
          <w:tcPr>
            <w:tcW w:w="55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 w:type="dxa"/>
            <w:vAlign w:val="bottom"/>
          </w:tcPr>
          <w:p>
            <w:pPr>
              <w:spacing w:after="0"/>
              <w:rPr>
                <w:sz w:val="21"/>
                <w:szCs w:val="21"/>
                <w:color w:val="auto"/>
              </w:rPr>
            </w:pPr>
          </w:p>
        </w:tc>
      </w:tr>
      <w:tr>
        <w:trPr>
          <w:trHeight w:val="243"/>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 w:type="dxa"/>
            <w:vAlign w:val="bottom"/>
          </w:tcPr>
          <w:p>
            <w:pPr>
              <w:spacing w:after="0"/>
              <w:rPr>
                <w:sz w:val="21"/>
                <w:szCs w:val="21"/>
                <w:color w:val="auto"/>
              </w:rPr>
            </w:pPr>
          </w:p>
        </w:tc>
      </w:tr>
      <w:tr>
        <w:trPr>
          <w:trHeight w:val="27"/>
        </w:trPr>
        <w:tc>
          <w:tcPr>
            <w:tcW w:w="55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and six months ended June 30, 2025 and 2024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5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3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cash flows for financing leases</w:t>
            </w: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796"/>
        </w:trPr>
        <w:tc>
          <w:tcPr>
            <w:tcW w:w="534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5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June 30, 2025 and December 31, 2024 are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76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7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leases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leases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recognized income tax expense of $14.4 million and income tax benefit of $14.6 million for the three months ended June 30, 2025 and 2024, respectively, based on the quarter-to-date pre-tax income. We recognized income tax expense of $31.4 million and income tax benefit of $20.7 million for the six months ended June 30, 2025 and 2024, respectively, based on the year-to-date pre-tax income. The Company’s effective income tax rate was 30.9% and 34.7% for the three months ended June 30, 2025 and 2024, respectively. The Company’s effective income tax rate was 33.9% and 32.2% for the six months ended June 30, 2025 and 2024, respectively. Differences in the effective tax rate and statutory federal income tax rate of 21% are primarily driven by the impact of certain limitations on the deductibility of stock-based compensation recognized for financial reporting purposes as well as state income taxes and research and development credits claimed.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Receivable Securitization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we had $80.0 million and $80.0 million, respectively, outstanding under a receivables financing agreement with a counterparty as the lender, which provides for a three-year receivables facility with a limit of $80.0 million (the “Receivables Facility”). Pursuant to the Receivables Facility, we sell and/or contribute current and future receivables to Waystar RC, LLC as the Special Purpose Entity (“SPE”). The SPE, in turn, pledges its interests in the receivables to the counterparty, which either makes loans or issues letters of credit on behalf of the SPE. All receivables remain on our balance sheet as they continue to be the property of our consolidated entities under the securitization.</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interest rate under the Receivables Facility is 1.61% per annum above the SOFR rate with a minimum base of 0%. The SOFR is adjusted each thirty-day period to the thirty-day SOFR rate. Interest under the Receivables Facility is paid monthly in arrears. At June 30, 2025, the effective interest rate for the Receivables Facility is 5.94%.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principal under the Receivables Facility is due on October 31, 2026.</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Receivables Facility contains certain covenants which, among other things, require we maintain certain collection thresholds with respect to our accounts receivable. We were in compliance with all such debt covenants during the periods presented.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instruments consist primarily of term notes, revolving lines of credit, and a Receivables Facility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20" w:type="dxa"/>
            <w:vAlign w:val="bottom"/>
          </w:tcPr>
          <w:p>
            <w:pPr>
              <w:spacing w:after="0"/>
              <w:rPr>
                <w:sz w:val="3"/>
                <w:szCs w:val="3"/>
                <w:color w:val="auto"/>
              </w:rPr>
            </w:pPr>
          </w:p>
        </w:tc>
        <w:tc>
          <w:tcPr>
            <w:tcW w:w="79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0" w:type="dxa"/>
            <w:vAlign w:val="bottom"/>
          </w:tcPr>
          <w:p>
            <w:pPr>
              <w:spacing w:after="0"/>
              <w:rPr>
                <w:sz w:val="3"/>
                <w:szCs w:val="3"/>
                <w:color w:val="auto"/>
              </w:rPr>
            </w:pPr>
          </w:p>
        </w:tc>
        <w:tc>
          <w:tcPr>
            <w:tcW w:w="79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4"/>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 facility outstanding debt</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1,157,712</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1,163,545</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facility outstanding debt</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37"/>
        </w:trPr>
        <w:tc>
          <w:tcPr>
            <w:tcW w:w="20" w:type="dxa"/>
            <w:vAlign w:val="bottom"/>
          </w:tcPr>
          <w:p>
            <w:pPr>
              <w:spacing w:after="0"/>
              <w:rPr>
                <w:sz w:val="20"/>
                <w:szCs w:val="20"/>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1,237,712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1,243,545</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1,215,862</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1,220,622</w:t>
            </w:r>
          </w:p>
        </w:tc>
      </w:tr>
      <w:tr>
        <w:trPr>
          <w:trHeight w:val="20"/>
        </w:trPr>
        <w:tc>
          <w:tcPr>
            <w:tcW w:w="79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93"/>
        </w:trPr>
        <w:tc>
          <w:tcPr>
            <w:tcW w:w="8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The maturity of long-term principal payments (excluding debt discount) at June 30, 2025 is as follows (in thousands):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796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r>
      <w:tr>
        <w:trPr>
          <w:trHeight w:val="243"/>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91,668</w:t>
            </w:r>
          </w:p>
        </w:tc>
      </w:tr>
      <w:tr>
        <w:trPr>
          <w:trHeight w:val="27"/>
        </w:trPr>
        <w:tc>
          <w:tcPr>
            <w:tcW w:w="79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r>
      <w:tr>
        <w:trPr>
          <w:trHeight w:val="243"/>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r>
      <w:tr>
        <w:trPr>
          <w:trHeight w:val="27"/>
        </w:trPr>
        <w:tc>
          <w:tcPr>
            <w:tcW w:w="79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1,116,873</w:t>
            </w:r>
          </w:p>
        </w:tc>
      </w:tr>
      <w:tr>
        <w:trPr>
          <w:trHeight w:val="237"/>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1,237,712</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there is no outstanding balance on our revolving credit facility. The interest rate under the revolving credit facility is 1.75% per annum above the SOFR rate with a minimum base of 0.00%. The SOFR is adjusted each thirty-day period to the thirty-day SOFR rate. At June 30, 2025, the effective interest rate for the revolving credit facility is 6.07%.</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interest rate under the amended First Lien Credit Facility is 2.25% per annum above the SOFR rate with a minimum base of 0.00%. The SOFR is adjusted each thirty-day period to the thirty-day SOFR rate. Interest under the First Lien Credit Facility is paid monthly in arrears. At June 30, 2025, the effective interest rate for First Lien Credit Facility is 6.82%.</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Principal on the First Lien Credit Facility is payable in 20 equal quarterly installments with the remaining balance to be paid on October 22, 2029. As of June 30, 2025, there are 17 payments remaining. The First Lien Credit Agreement contains certain covenants which, among other things, restrict our ability to incur additional indebtedness. We were in compliance with such debt covenants as of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unamortized debt issuance costs of $10.2 million and $11.3 million as of June 30, 2025 and December 31, 2024, respectively.</w:t>
      </w:r>
    </w:p>
    <w:p>
      <w:pPr>
        <w:spacing w:after="0" w:line="225"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In connection with the Revolving Credit Facility, unamortized debt issuance costs were $1.8 million and $2.1 million as of June 30, 2025 and December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To mitigate the risk of a rise in interest rates on the First Lien Credit Facility, we entered into interest rate swaps on January 13, 2023, April 1, 2025 and April 9, 2025. We attempt to minimize our interest risk exposure by fixing our rate through the utilization of interest rate swaps, which are derivative instruments. The interest rate swaps mitigate the exposure on the variable component of interest on our First Lien Credit Facility. The interest rate swaps result in the fixed interest rate shown in the table below on the swapped portion of the First Lien Credit Facility. Our swaps are entered into with financial</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institutions that participate in the First Lien Credit Facility. By using a derivative instrument to hedge exposures to changes in interest rates, we expose ourselves to credit risk due to the possible failure of the counterparty to perform under the terms of the derivative contract.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we have the following interest rate swap agreements designated as a hedging instruments: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6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Fixed Rates</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2023 through January 31, 2026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506.7 million</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2025 through January 30, 2026</w:t>
            </w:r>
          </w:p>
        </w:tc>
        <w:tc>
          <w:tcPr>
            <w:tcW w:w="28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 million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2026 through March 31, 2027</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 million</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2026 through March 31, 2027</w:t>
            </w:r>
          </w:p>
        </w:tc>
        <w:tc>
          <w:tcPr>
            <w:tcW w:w="28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 million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bl>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gain or loss on the swaps is recognized in accumulated other comprehensive income/(loss) and reclassified into earnings as adjustments to interest expense in the same period or periods during which the swaps affect earnings. Gains or losses on the swaps representing hedge components excluded from the assessment of effectiveness are recognized in current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designated as hedging instruments on the accompanying consolidated financial statements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Interest</w:t>
            </w:r>
          </w:p>
        </w:tc>
      </w:tr>
      <w:tr>
        <w:trPr>
          <w:trHeight w:val="176"/>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2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Expense on</w:t>
            </w:r>
          </w:p>
        </w:tc>
      </w:t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Recognized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 Reclassified</w:t>
            </w:r>
          </w:p>
        </w:tc>
        <w:tc>
          <w:tcPr>
            <w:tcW w:w="12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Reclassified</w:t>
            </w: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6"/>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AOCI/AOCL 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AOCI/AOCL</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from AOCI/AOCL</w:t>
            </w: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Statements of</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 Cash Flow Hedging Relationships</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37"/>
        </w:trPr>
        <w:tc>
          <w:tcPr>
            <w:tcW w:w="50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(50,541)</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(37,155)</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(107,725)</w:t>
            </w: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amount of accumulated other comprehensive income expected to be reclassified to interest income in the next twelve months is $0.6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June 30, 2025 and December 31, 2024, we had $56.2 million and $35.6 million, respectively, of outstanding debt as part of the First Lien Credit Facility from Bain Affiliated Funds and CPPIB Credit Investments III Inc., affiliates of Bain Capital LP and Canada Pension Plan Investment Board (“Affiliated Debtholders”). Interest expense associated with and paid to Affiliated Debtholders was $0.9 million and $1.3 million for the three months ended June 30, 2025 and 2024, respectively and $1.6 million and $2.7 million for the six months ended June 30, 2025 and 2024, respectively.</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CPPIB has an ownership interest in us and a significant interest in the landlord that leases us office space under an operating lease agreement in Houston, Texas. For the three months ended June 30, 2025 and 2024, we expensed zero and $0.1 million, respectively, and for the six months ended June 30, 2025 and 2024, we expensed $0.0 million and $0.1 million, respectively, for this office space lease in general and administrative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Bain Capital LP has an ownership interest in us and a significant interest in some clients for whom we provide software solutions. For the three months ended June 30, 2025 and 2024, we earned revenue of $0.6 million from five clients and $0.4 from four clients, respectively. For the six months ended June 30, 2025 and 2024, we earned revenue of $1.2 million from five clients and $0.8 million from four clients, respectively. They also have an ownership interest in us and a significant interest in two vendors that provide us with software solutions. For the three months ended June 30, 2025 and 2024, we expensed $0.6 million and $0.1 million, respectively, and for the six months ended June 30, 2025 and 2024, we expensed $1.2 million and $0.2 million for software services from these vendors in cost of revenue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Common and Preferred Stock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("IPO") , the Company’s amended and restated certificate of incorporation became effective on June 10, 2024, which authorizes the issuance of 2,500,000,000 shares of common stock, par value $0.01 per share, and 100,000,000 shares of preferred stock, par value $0.01 per share. The shares of preferred stock have rights and preferences, including voting rights, designated from time to time by the Board of Directors. In connection with the amendment and restatement of the Company’s certificate of incorporation effective on the IPO date, the Class A common stock shares were automatically reclassified as, and became, one share of common stock. There were 174,146,070 and 172,108,240 common stock shares issued and outstanding as of June 30, 2025 and December 31,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maintain qualified 401(k) plans which cover substantially all employees meeting certain eligibility requirements. Participants may contribute a portion of their compensation to the plans, up to the maximum amount permitted under Section 401(k) of the Internal Revenue Code. Under these plans, we contribute various percentages of employees’ salaries to the plans. Total expenses included in operating expenses in the accompanying consolidated statement of operations related to the plans were $1.3 million and $1.3 million for the three months ended June 30, 2025 and 2024 and $2.7 million and $2.4 million for the six months ended June 30,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22, 2019, the Board of Directors approved the Waystar Holding Corp. 2019 Stock Incentive Plan (“2019 Waystar Holding Plan”). Under this plan, we can issue up to 9.9 million options or other equity awards. The granted awards contain service criteria, performance criteria, market conditions, or a combination thereof for vesting and have a 10-year contractual term. Options with a service condition generally vest over 5 years with 20% vesting in equal vesting installments. Options with a performance condition and a market condition vest based upon a change in control, initial public offering, or a sponsor distribution or deemed return if the investors have achieved specified levels of return on investment. In addition, as part of a change in control in 2019, 1.7 million fully vested rollover options remain outstanding.</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of Directors approved the Waystar Holding Corp. 2024 Equity Incentive Plan (the “2024 Equity Incentive Plan”), effective as of June 6, 2024, the date of pricing of our IPO. Under this plan, we can issue non-qualified stock options, incentive stock options, stock appreciation rights, restricted shares of the Company’s Common Stock, restricted stock units, performance based stock units, and other equity-based awards tied to the value of the Company’s shares. Under this plan, we can issue up to 10 million options and other equity awards, subject to annual increases as outlined under the plan. The number of shares available to be issued automatically increases on the first day of each fiscal year beginning next year by a number of shares equal to the lesser of the positive difference, if any, between 5% of the outstanding common stock on the last day of the immediately preceding fiscal year, minus the plan share reserve on the last day of the immediately preceding fiscal year or such lesser number of shares as may be determined by the Board of Directors. Options with a service condition generally vest over 5 years with 20% vesting in equal vesting installments. The restricted stock units (“RSUs”) under the 2024 Equity Incentive Plan generally vest over 4 or 5 years with 25% or 20% vesting, respectively, in equal vesting installments. The performance-based stock units (“PSUs”) under the 2024 Equity Incentive Plan vest between 0% and 200% based on the company's total shareholder return (“TSR”) relative to a designated peer group as defined in the respective agreement over a four-year performance period. As of June 30, 2025, 5.5 million shares were available for future grants under this plan.</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Board of Directors approved the Waystar Holding Corp. 2024 Employee Stock Purchase Plan (the “ESPP”), effective as of June 6, 2024, the date of pricing of our IPO. A total of 3,250,000 shares of common stock are initially reserved for the ESPP. The number of shares available to be issued for the ESPP will automatically increase each fiscal year beginning next year by a number of shares equal to the lesser of the positive difference, if any, between 1% of the outstanding common stock on the last day of the immediately preceding fiscal year and the number of shares of common stock available for the issuance of shares pursuant to the plan on the last day of the immediately preceding fiscal year or such lesser number of shares as may be determined by the Board of Directors. The number of shares available to be issued for the ESPP will not exceed 27,000,000 as outlined in the plan agreement. Our employees contribute funds via payroll deductions during the offering periods, which are used to buy Waystar common shares at a discount of up to 15% of the purchase price at the purchase date. The initial offering period is March 1, 2025 through June 30, 2025 with the purchase date of June 30, 2025. For the three and six months ending June 30, 2025 and 2024, expense of $0.2 million and zero, respectively, has been recorded which represents the 15% discount given to the employees under the ESPP.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utilize the Black-Scholes option pricing model to estimate the fair value of the service condition options under all plans and the Monte Carlo pricing model to estimate the fair value of the performance condition options under the 2019 Waystar Holding Corp. Plan. We value both types of options at the grant date using the following assumptions:</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rate—reflects the average rate on the United States Treasury bond with maturity equal to the expected term of the option;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yield—as we do not currently pay dividends or expect to pay dividends in the near future, the expected dividend yield is zero;</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of stock award – under the 2024 Equity Incentive Plan, we utilized the simplified method due to the lack of historical experience activity for Waystar. The simplified method calculates the expected term as the mid-point between the vesting date and the contractual expiration date of the award. Under the 2019 Waystar Holding Corp. Plan, it is based on historical experience that is modified based on expected future changes;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in stock price—reflects the historical volatility of comparable public companies over the expected term of the stock option.</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and six months ended June 30, 2025 was $18.69 per share. The weighted average grant date fair value of options granted during the three and six months ended June 30, 2024 was $12.59 per share and $12.89 per share, respectively. As of June 30, 2025, we had 7.0 million fully vested options with a weighted average exercise price of $14.43 per share, an aggregate intrinsic value of $185.7 million and an average remaining contractual term of 4.4 years. The total fair value of options vested for the three months ended June 30, 2025 and 2024 were $11.3 million and $0.5 million, respectively and $13.6 million and $1.8 million for the six months ending June 30, 2025 and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option activity under all plans (including rollover options) during the six months ending June 30, 2025 and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3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3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2025</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14,981,933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16,975,260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significant assumptions used in estimating the fair value of options granted the three and six months ended June 30,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740" w:type="dxa"/>
            <w:vAlign w:val="bottom"/>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32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186"/>
        </w:trPr>
        <w:tc>
          <w:tcPr>
            <w:tcW w:w="4400" w:type="dxa"/>
            <w:vAlign w:val="bottom"/>
            <w:gridSpan w:val="2"/>
          </w:tcPr>
          <w:p>
            <w:pPr>
              <w:ind w:left="40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78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2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4.24%-4.59%</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3.76%-4.59%</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of stock award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5.0 - 6.5</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 in stock price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46.24 %</w:t>
            </w:r>
          </w:p>
        </w:tc>
        <w:tc>
          <w:tcPr>
            <w:tcW w:w="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49.62%-51.73%</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49.62%-51.89%</w:t>
            </w: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(the difference between the fair market value of our stock on the date of exercise and the exercise price) was approximately $23.9 million and $0.0 million for the three months ended June 30, 2025 and 2024, respectively and $48.9 million and $0.0 million for the six months ended June 30, 2025 and 2024, respectively.</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expect to incur compensation expense of approximately $45.4 million over a weighted average of 3.5 years for all unvested time-based awards outstanding on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RSUs granted on June 10, 2024 in conjunction with the IPO were valued at the IPO price. Subsequent RSU grants will be valued using our common stock price as of the grant date based on the publicly traded value per NASDAQ, and are expensed on a straight-line basis over the applicable vesting period. All vesting is contingent on continued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activity during the six months ended June 30,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2,240,017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2025</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13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79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204"/>
        </w:trPr>
        <w:tc>
          <w:tcPr>
            <w:tcW w:w="794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7"/>
                <w:szCs w:val="17"/>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9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2,007,304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incur compensation expense of $114.0 million over a weighted average of 4.6 years for all unvested RSUs outstanding on June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utilize the Monte Carlo pricing model to estimate the fair value of the market-based condition PSUs at the grant date under the 2024 Equity Incentive Plan. The Monte Carlo model incorporates assumptions regarding expected volatility, correlation between performance of our stock price and that of publicly traded peer companies, expected dividend yields and the risk-free interest rate. The Monte Carlo pricing model simulates potential future stock price paths yielding a grant date fair value that reflects the likelihood of varying outcomes. These awards are expensed on a straight-line basis over the applicable vesting period utilizing the fair value at the grant date.</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significant assumptions used in estimating the fair value of PSUs granted during the three and six months ended June 30, 2025. There were no PSUs granted prior to the six months ended June 30,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9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r>
      <w:tr>
        <w:trPr>
          <w:trHeight w:val="37"/>
        </w:trPr>
        <w:tc>
          <w:tcPr>
            <w:tcW w:w="340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3400" w:type="dxa"/>
            <w:vAlign w:val="bottom"/>
          </w:tcPr>
          <w:p>
            <w:pPr>
              <w:spacing w:after="0"/>
              <w:rPr>
                <w:sz w:val="16"/>
                <w:szCs w:val="16"/>
                <w:color w:val="auto"/>
              </w:rPr>
            </w:pPr>
          </w:p>
        </w:tc>
        <w:tc>
          <w:tcPr>
            <w:tcW w:w="2080" w:type="dxa"/>
            <w:vAlign w:val="bottom"/>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4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40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7"/>
        </w:trPr>
        <w:tc>
          <w:tcPr>
            <w:tcW w:w="3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of stock award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in stock price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PSU activity during the six months ended June 30, 2025. There was no PSU activity prior to the six months ended June 30, 2025.</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900" w:type="dxa"/>
            <w:vAlign w:val="bottom"/>
          </w:tcPr>
          <w:p>
            <w:pPr>
              <w:spacing w:after="0"/>
              <w:rPr>
                <w:sz w:val="15"/>
                <w:szCs w:val="15"/>
                <w:color w:val="auto"/>
              </w:rPr>
            </w:pPr>
          </w:p>
        </w:tc>
        <w:tc>
          <w:tcPr>
            <w:tcW w:w="1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3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79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204"/>
        </w:trPr>
        <w:tc>
          <w:tcPr>
            <w:tcW w:w="79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9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00"/>
        <w:spacing w:after="0" w:line="407" w:lineRule="auto"/>
        <w:rPr>
          <w:sz w:val="20"/>
          <w:szCs w:val="20"/>
          <w:color w:val="auto"/>
        </w:rPr>
      </w:pPr>
      <w:r>
        <w:rPr>
          <w:rFonts w:ascii="Times New Roman" w:cs="Times New Roman" w:eastAsia="Times New Roman" w:hAnsi="Times New Roman"/>
          <w:sz w:val="18"/>
          <w:szCs w:val="18"/>
          <w:color w:val="auto"/>
        </w:rPr>
        <w:t xml:space="preserve">We expect to incur compensation expense of $22.9 million over a weighted average of 3.8 years for all unvested PSUs outstanding on June 30, 2025. </w:t>
      </w:r>
      <w:r>
        <w:rPr>
          <w:rFonts w:ascii="Times New Roman" w:cs="Times New Roman" w:eastAsia="Times New Roman" w:hAnsi="Times New Roman"/>
          <w:sz w:val="18"/>
          <w:szCs w:val="18"/>
          <w:i w:val="1"/>
          <w:iCs w:val="1"/>
          <w:color w:val="auto"/>
        </w:rPr>
        <w:t>Stock-based Compensation</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recorded $11.5 million and $37.0 million of stock-based compensation expense for the three months ended June 30, 2025 and 2024, respectively and $18.3 million and $39.5 million for the six months ended June 30, 2025 and 2024,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cost and expense categories in the consolidated statements of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54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Borders>
              <w:bottom w:val="single" w:sz="8" w:color="CCEEFF"/>
            </w:tcBorders>
          </w:tcPr>
          <w:p>
            <w:pPr>
              <w:spacing w:after="0"/>
              <w:rPr>
                <w:sz w:val="3"/>
                <w:szCs w:val="3"/>
                <w:color w:val="auto"/>
              </w:rPr>
            </w:pPr>
          </w:p>
        </w:tc>
        <w:tc>
          <w:tcPr>
            <w:tcW w:w="54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646</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Other Accrued Expenses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54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taxes payable</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Retirement plan payable</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self insurance claims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ESPP payable</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(Loss) Per Share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per share computations are as follows (in thousands, except for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income/(loss)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common shares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outstanding–(voting)</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173,358,382</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133,527,766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172,467,988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127,601,532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173,358,382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133,527,766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172,467,988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127,601,532</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income/(loss) per share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Diluted income/(loss) per share:</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 attributable to common shares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 (voting)</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7,096,155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RSUs – (voting)</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ESPP – (voting)</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outstanding–(voting)</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181,599,133</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133,527,766</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181,076,149</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127,601,532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181,599,133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133,527,766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181,076,149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127,601,532</w:t>
            </w:r>
          </w:p>
        </w:tc>
      </w:tr>
      <w:tr>
        <w:trPr>
          <w:trHeight w:val="26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income/(loss) per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Because of their anti-dilutive effect, 1,381,263 and 3,766,890 common share equivalents comprised of stock options and RSUs have been excluded from the diluted earnings per share calculation for the three months ended June 30, 2025 and 2024, respectively. Additionally because of their anti-dilutive effect, 1,125,049 and 3,731,340 common share equivalents comprised of stock options and RSUs have been excluded from diluted earnings per share calculation for the six months ended June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may be subject to legal proceedings, claims, asserted or unasserted, and litigation arising in the ordinary course of business. We do not, however, currently expect that the ultimate costs to resolve any pending matter will have a material effect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subsequent events through the date of issuance.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4, 2025, H.R.1, the budget reconciliation bill known as the “One Big Beautiful Bill Act”, was signed into law in the U.S. This legislation includes significant changes to U.S. tax law impacting corporate tax rates, bonus depreciation, interest limitations under Internal Revenue Code Section 163(j), and the treatment of domestic research and development expenditures. We are currently evaluating the effect of this legislation on our consolidated and condensed consolidated financial statements. As the legislation was signed into law after the close of our second quarter, the impacts are not included in our operating results for the six months ended June 30, 2025.</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23, 2025, we entered into an Agreement and Plan of Merger to acquire Iodine through a series of mergers. The acquisition, valued at $1.25 billion, includes $625.0 million in cash and 16,751,541 shares of common stock. The consummation of the acquisition is subject to the satisfaction of customary closing conditions. Given the acquisition has yet to close, accounting conclusions related to the transaction are pending.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significant subsequent events have occurred through the date of issuance.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Waystar Holding Corp. (“Waystar”, the “Company”, “we”, “us”, and “our”) financial condition and results of operations should be read in conjunction with our unaudited consolidated financial statements and the related notes included elsewhere in this Form 10-Q, and the consolidated financial statements and related notes included in the 2024 Form 10-K.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“Cautionary Statement Concerning Forward-Looking Statements” above and “Risk Factors” in the 2024 Form 10-K and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Waystar provides healthcare organizations with mission-critical cloud software that simplifies healthcare payments. Our enterprise-grade platform streamlines the complex and disparate processes our healthcare provider clients must manage to be reimbursed correctly, while improving the payments experience for providers, patients, and payers. We leverage AI as well as proprietary, advanced algorithms to automate payment-related workflow tasks and drive continuous improvement, which enhances claim and billing accuracy, enriches data integrity, and reduces labor costs for providers.</w:t>
      </w:r>
    </w:p>
    <w:p>
      <w:pPr>
        <w:spacing w:after="0" w:line="18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16 of the top 20 U.S. News Best Hospitals. Our business model is designed such that as our clients grow to serve more patients, their claims and transactional volumes increase, resulting in corresponding growth in our business. In addition, our clients frequently adopt a greater number of our solutions over time and introduce our solutions across new sites of care. In 2024, we facilitated over six billion healthcare payments transactions, including over $1.8 trillion in gross claims volume. As of 2024, we facilitated healthcare payments transactions spanning approximately 50% of patients in the United States.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platform benefits from powerful network effects. Our cloud-based software is driven by a sophisticated, automated, and curated rules engine, employing AI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client base. This results in cumulative benefits to us over time —as we capture more data from each transaction we process, we leverage that data to continue to improve the Waystar platform through embedded machine learning, advanced algorithms, and other in-house AI technologies to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demonstrated an ability to drive recurring, predictable, and profitable growth. Over 99% of our revenue is either recurring subscription or based on highly predictable volumes. For the twelve months ended June 30, 2025, our Net Revenue Retention Rate was 114.6% and we have 1,268 clients as of June 30, 2025 generating over $100,000 over the same twelve month period. For the six months ended June 30, 2025, we generated revenue of $527.1 million (reflecting a 14.8% increase compared to revenue of $459.3 million for the same period in the prior year), net income of $61.5 million compared to net loss of $43.6 million for the same period in the prior year, and Adjusted EBITDA of $220.3 million (reflecting a 18.0% increase compared to Adjusted EBITDA of $186.7 million for the same period in the prior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2024, we completed an initial public offering (the “IPO”) of 45,000,000 shares of common stock at a price of $21.50 per share. After underwriting discounts and commissions of $53.2 million, we received total proceeds from the offering of $914.3 million. On July 5, 2024, pursuant to the option granted to the underwriters for a period of 30 days from the date of the IPO Prospectus to purchase up to 6,750,000 additional shares of common stock from us at the IPO price less the underwriting discount, the underwriters exercised the right to purchase 5,059,010 additional shares of common stock, resulting in additional net proceeds of $102.8 million, after deducting underwriting discounts and commissions of $6.0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million. The remaining option to purchase additional shares expired unexercised at the end of the 30-day period. See Item 1, Financial Statements, Note 1 (Business) in the 2024 Form 10-K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24, 2025, the Institutional Investors closed an underwritten public offering of 23,000,000 shares of our common stock (inclusive of the underwriters’ option to purchase additional shares) (the “First Secondary Offering”). Additionally on May 15, 2025, the Institutional Investors closed another underwritten public offering of 14,375,000 shares of our common stock (inclusive of the underwriters' option to purchase additional shares) (the "Second Secondary Offering"). The Company did not sell any shares in these offerings or receive any proceeds from these offerings. Pursuant to the terms of the Amended and Restated Registration Rights Agreement, dated as of June 10, 2024, by and among the Company, the Institutional Investors, and certain other parties thereto, we paid $1.8 million and $3.2 million in certain expenses on behalf of the selling stockholders related to these offerings for the three and six months ended June 30, 2025, respectively, while the selling stockholders paid all applicable underwriting discounts and commissions.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Iodine Acquisition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23, 2025, we entered into an Agreement and Plan of Merger to acquire Iodine through a series of mergers. The acquisition, valued at $1.25 billion, includes $625.0 million in cash and 16,751,541 shares of common stock. Iodine is a trusted leader in AI-powered clinical intelligence, enhancing clinical documentation and accuracy, streamlining utilization management, and preventing revenue leakage before billing. This strategic move is expected to bolster our AI leadership, automate manual work, and improve financial performance for providers. The boards of both companies have approved the merger, which is subject to customary closing conditions and regulatory approvals. The acquisition is expected to close by year-end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 Affecting Comparability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the future growth and profitability of our business, and the comparability of our results from period to period, depend on numerous factors,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Relationship with Existing Clients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our clients grow their businesses and provide more services and see more patients, our volume-based revenues also increase. In addition, our growth in revenues also depends on our ability to sell more products and solutions to existing clients, including through cross-selling as our clients adopt additional Waystar offerings as well as up-selling as our clients leverage our solutions across additional providers and sites of care.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Client Base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focused on continuing to grow our client base, which will depend in part on our ability to continue to maintain our product leadership, invest in our research and development team, and maintain our reputation and brand.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the IPO</w:t>
      </w:r>
    </w:p>
    <w:p>
      <w:pPr>
        <w:spacing w:after="0" w:line="227" w:lineRule="exact"/>
        <w:rPr>
          <w:sz w:val="20"/>
          <w:szCs w:val="20"/>
          <w:color w:val="auto"/>
        </w:rPr>
      </w:pPr>
    </w:p>
    <w:p>
      <w:pPr>
        <w:ind w:left="660" w:right="2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Repayment. </w:t>
      </w:r>
      <w:r>
        <w:rPr>
          <w:rFonts w:ascii="Times New Roman" w:cs="Times New Roman" w:eastAsia="Times New Roman" w:hAnsi="Times New Roman"/>
          <w:sz w:val="18"/>
          <w:szCs w:val="18"/>
          <w:color w:val="auto"/>
        </w:rPr>
        <w:t>We used proceeds from our IPO to repay an aggregate of $1.0 billion in outstanding principal amount on our First Lien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the second and third quarters of fiscal 2024. This debt repayment has contributed to lower interest expense for the three and six months ended June 30, 2025 compared to the same periods in the prior year.</w:t>
      </w:r>
    </w:p>
    <w:p>
      <w:pPr>
        <w:spacing w:after="0" w:line="17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expect to recognize stock-based compensation expense of $17.9 million per year over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periods in connection with equity awards granted in connection with the IPO. Such stock-based compensation expense will be reflected in our results of operations from the closing date of the IPO through the applicable vesting periods of such awards. Additionally, we recognized $33.1 million of stock-based compensation expense during the three months ended June 30, 2024, as the vesting of our performance condition options became probable upon the closing of the IPO as the implicit service period for the awards established at the grant date had elapsed.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Incremental Public Company Expenses. </w:t>
      </w:r>
      <w:r>
        <w:rPr>
          <w:rFonts w:ascii="Times New Roman" w:cs="Times New Roman" w:eastAsia="Times New Roman" w:hAnsi="Times New Roman"/>
          <w:sz w:val="18"/>
          <w:szCs w:val="18"/>
          <w:color w:val="auto"/>
        </w:rPr>
        <w:t>Following the IPO, we have incurred significant expenses on an ongoing basis that we did not incur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company. Those costs include additional director and officer liability insurance expenses, as well as third-party and internal resources related to accounting, auditing, Sarbanes-Oxley Act compliance, legal, and investor and public relation expenses. These costs are generally expensed under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primarily generate two types of revenue: (i) subscription revenue and (ii) volume-based revenue, which account for 99% of total revenue for all periods presented. We believe we have high visibility into our volume-based and subscription revenue from existing clients. We refer to the solutions our clients use to better process and understand their payment workflows from payers as provider solutions, and we refer to the products that assist healthcare providers in collecting payments from patients as patient payment solutions. We expect provider solutions will continue to generate the substantial majority of our total revenue, although the revenue mix attributable to patient payment solutions is expected to increase slightly over time.</w:t>
      </w:r>
    </w:p>
    <w:p>
      <w:pPr>
        <w:spacing w:after="0" w:line="181" w:lineRule="exact"/>
        <w:rPr>
          <w:sz w:val="20"/>
          <w:szCs w:val="20"/>
          <w:color w:val="auto"/>
        </w:rPr>
      </w:pPr>
    </w:p>
    <w:p>
      <w:pPr>
        <w:jc w:val="both"/>
        <w:ind w:left="660" w:right="18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revenue</w:t>
      </w:r>
      <w:r>
        <w:rPr>
          <w:rFonts w:ascii="Times New Roman" w:cs="Times New Roman" w:eastAsia="Times New Roman" w:hAnsi="Times New Roman"/>
          <w:sz w:val="18"/>
          <w:szCs w:val="18"/>
          <w:color w:val="auto"/>
        </w:rPr>
        <w:t>. Reflects recurring monthly provider count fees and minimum amounts owed. The vast majority of subscription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provider solutions, which constituted approximately 70% of total revenue in each of the three and six months ended June 30, 2025 and 2024.</w:t>
      </w:r>
    </w:p>
    <w:p>
      <w:pPr>
        <w:spacing w:after="0" w:line="173"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Volume-based revenue</w:t>
      </w:r>
      <w:r>
        <w:rPr>
          <w:rFonts w:ascii="Times New Roman" w:cs="Times New Roman" w:eastAsia="Times New Roman" w:hAnsi="Times New Roman"/>
          <w:sz w:val="18"/>
          <w:szCs w:val="18"/>
          <w:color w:val="auto"/>
        </w:rPr>
        <w:t>. Represents recurring fees associated with transaction count or dollar volumes in excess of minimums.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half of our volume-based revenue is generated from provider solutions that are based on transaction count, with the other half from patient payments solutions that are based on either dollar volumes or transaction count.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also derive revenue from implementation fees for our software, as well as hardware sales to facilitate patient payments. Our implementation fees are billed upfront and the revenue is recognized ratably over the customer's life.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Cost of revenue includes salaries, stock-based compensation, and benefits (“personnel costs”) for our team members who are focused on implementation, support, and other client-focused operations, as well as team members focused on enhancing and developing our platform. Cost of revenue also includes costs for third-party technology such as interchange fees and infrastructure related to the operations of our platform, including communicating and processing patient payments, and services to support the delivery of our solutions. Third-party costs for patient payments solutions are approximately 60% of the revenue generated from these solutions, while third-party costs for provider solutions are approximately 6% to 8% of the associated revenue, in each case, for both the three and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costs consist primarily of personnel costs, internal sales commissions, channel partner fees, travel, and advertising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incurred in our corporate service functions such as finance expenses, legal, human resources, and information technology, as well as other professional service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personnel costs for team members engaged in research and development activities as well as third-party fees. All such costs are expensed as incurred, except for capitalized software development costs.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property and equipment and amortization of certain intangible assets, including capitalized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expense consists primarily of interest expense and related-party interest expense, inclusive of the impact of interest rate swaps and net of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Income tax expense/(benefit) includes current income tax and income tax credits from deferred taxes. Income tax expense/benefit is recognized in profit and loss except to the extent that it relates to items recognized in equity or other comprehensive income, in which case the income tax expense/(benefit) is also recognized in equity or other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consolidated operating results for the periods indicated and percentage of revenue for each line item: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5"/>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234,543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4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80,451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45,715</w:t>
            </w:r>
          </w:p>
        </w:tc>
        <w:tc>
          <w:tcPr>
            <w:tcW w:w="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39,955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44,276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7"/>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226,298</w:t>
            </w:r>
          </w:p>
        </w:tc>
        <w:tc>
          <w:tcPr>
            <w:tcW w:w="100" w:type="dxa"/>
            <w:vAlign w:val="bottom"/>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686.5 %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(49,195)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gridSpan w:val="2"/>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(42,296)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412"/>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19"/>
                <w:szCs w:val="19"/>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5"/>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112,349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Volume-based revenue</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138,290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270,654</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234,543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Revenue was $270.7 million for the three months ended June 30, 2025 as compared to $234.5 million for the three months ended June 30, 2024, an increase of $36.1 million, or 15.4%, of which $18.8 million was attributed to subscription revenue from new and existing clients, almost all of which was generated by provider solutions. Another $17.4 million was attributed to volume-based revenue primarily related to expansion of existing client usage, of which $11.2 million was generated by patient payments solutions and $6.2 million was generated by provider solutions.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Cost of revenue was $87.0 million for the three months ended June 30, 2025 as compared to $80.5 million for the three months ended June 30, 2024, an increase of $6.6 million, or 8.2%. The increase was primarily driven by $5.5 million in increased costs stemming from higher transaction volumes and associated third-party costs, including higher platform usage, of which approximately $6.9 million was from costs associated with payment solutions offset by a decrease of $1.5 million from costs associated with provider solutions, primarily from timing of prior acquisition synergy attainment.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and marketing expense was $43.5 million for the three months ended June 30, 2025 as compared to $45.7 million for the three months ended June 30, 2024, a decrease of $2.2 million, or 4.8%. The decrease was primarily driven by stock-based compensation expense of $6.5 million attributable to the recognition of performance condition options that did not recur during the three months ended June 30, 2025 (see “Impacts of IPO” section above), offset by an increase in channel partner fees and amortization of the internal commission deferred contract costs asset of $3.5 million associated with revenue growth and increased personnel costs of $1.2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$29.2 million for the three months ended June 30, 2025 as compared to $40.0 million for the three months ended June 30, 2024, a decrease of $10.8 million, or 26.9%. The decrease was primarily due to a reduction in stock-based compensation expense of $13.6 million attributable to the recognition of performance condition options that did not recur during the three months ended June 30, 2025 (see “Impacts of IPO” section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$12.6 million for the three months ended June 30, 2025 as compared to $15.9 million for the three months ended June 30, 2024, a decrease of $3.3 million, or 20.6%. The decrease was primarily due to a reduction in stock-based compensation expense of $4.1 million attributable to the recognition of performance condition options that did not recur during the three months ended June 30, 2025 (see “Impacts of IPO” section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$33.4 million for the three months ended June 30, 2025, as compared to $44.3 million for the three months ended June 30, 2024, a decrease of $10.9 million, or 24.5%. The decrease was due to several intangible assets becoming fully amortized in the prior year, driving a decrease in intangible amortization.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interest expense was $18.3 million for the three months ended June 30, 2025 as compared to $50.5 million for the three months ended June 30, 2024, a decrease of $32.3 million, or 63.9%. $27.6 million of the decrease, net of the impact of interest rate swaps, was driven by First Lien Credit Facility paydowns during 2024 totaling $1.0 billion.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Expense/(Benefit)</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Income tax expense was $14.4 million for the three months ended June 30, 2025, as compared to an income tax benefit of $14.6 million for the three months ended June 30, 2024, an increase of $29.0 million. The increase was primarily driven by the increase in pre-tax income/(loss).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consolidated operating results for the periods indicated and percentage of revenue for each line item: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gridSpan w:val="4"/>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459,335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155,643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79,495</w:t>
            </w:r>
          </w:p>
        </w:tc>
        <w:tc>
          <w:tcPr>
            <w:tcW w:w="10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66,090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88,450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75.3 % `</w:t>
            </w: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415,899</w:t>
            </w:r>
          </w:p>
        </w:tc>
        <w:tc>
          <w:tcPr>
            <w:tcW w:w="10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130,055</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43,436</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86,619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(20,672)</w:t>
            </w:r>
          </w:p>
        </w:tc>
        <w:tc>
          <w:tcPr>
            <w:tcW w:w="10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(43,617)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5"/>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218,428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37,721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Volume-based revenue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527,089</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67,754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was $527.1 million for the six months ended June 30, 2025 as compared to $459.3 million for the six months ended June 30, 2024, an increase of $67.8 million, or 14.8%, of which $37.7 million was attributed to subscription revenue from new and existing clients, almost all of which is generated by provider solutions. Another $30.2 million was attributed to volume-based revenue primarily related to expansion of existing client usage, most of which was generated by patient payments solutions.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22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Cost of revenue was $170.4 million for the six months ended June 30, 2025 as compared to $155.6 million for the six months ended June 30, 2024, an increase of $14.7 million, or 9.5%. The increase was primarily driven by $11.7 million in increased costs stemming from higher transaction volume and associated third-party costs, including higher platform usage, of which approximately $15.5 million was from costs associated with payment solutions offset by a decrease of $3.8 million from costs associated with provider solutions, primarily from timing of prior acquisition synergy attainment.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and marketing expense was $83.6 million for the six months ended June 30, 2025 as compared to $79.5 million for the six months ended June 30, 2024, an increase of $4.2 million, or 5.2%. The increase was primarily driven by an increase in channel partner fees and amortization of the internal commission deferred contract costs asset of $8.0 million associated with revenue growth and increased personnel costs of $2.2 million. This was offset by a decrease in stock-based compensation of $5.6 million attributable to the recognition of performance condition options that did not recur during the six months ended June 30, 2025 (see “Impacts of IPO” section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$52.5 million for the six months ended June 30, 2025 as compared to $66.1 million for the six months ended June 30, 2024, a decrease of $13.6 million, or 20.6%. The decrease was primarily due to a reduction in stock-based compensation expense of $11.0 million attributable to the recognition of performance condition options that did not recur during the six months ended June 30, 2025 (see “Impacts of IPO” section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$23.7 million for the six months ended June 30, 2025 as compared to $26.2 million for the six months ended June 30, 2024, a decrease of $2.5 million, or 9.6%. The decrease was primarily driven by a decrease in stock-based compensation expense of $3.4 million attributable to the recognition of performance condition options that did not recur during the six months ended June 30, 2025 (see “Impacts of IPO” section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$66.8 million for the six months ended June 30, 2025, as compared to $88.4 million for the six months ended June 30, 2024, a decrease of $21.6 million, or 24.5%. The decrease was due to several intangible assets becoming fully amortized in the prior year, driving a decrease in intangible amortization.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Total interest expense was $37.2 million for the six months ended June 30, 2025 as compared to $107.7 million for the six months ended June 30, 2024, a decrease of $70.6 million, or 65.5%. The decrease was driven by the paydowns during 2024 totaling $1.0 billion on our First Lien Credit Facility decreasing the corresponding interest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Income tax expense was $31.4 million for the six months ended June 30, 2025 as compared to an income tax benefit of $20.7 million for the six months ended June 30, 2024, an increase of $52.1 million. The increase was primarily driven by the increase in pre-tax income/(loss).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present adjusted EBITDA, adjusted EBITDA margin, non-GAAP net income/(loss), and non-GAAP net income/(loss) per share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Adjusted EBITDA, adjusted EBITDA margin, non-GAAP net income / (loss), and non-GAAP net income / (loss) per share are not recognized terms under GAAP and should not be considered as an alternative to net income (loss) or net income (loss) margin as measures of financial performance or cash provided by operating activities as a measure of liquidity, or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define adjusted EBITDA as net income / (loss) before interest expense, net, income tax expense / (benefit), depreciation and amortization, and as further adjusted for stock-based compensation expense, acquisition and integration costs, asset and lease impairments, costs related to amended debt agreements, and costs related to our IPO and the Secondary Offerings. Adjusted EBITDA margin represents adjusted EBITDA as a percentage of revenue.</w:t>
      </w:r>
    </w:p>
    <w:p>
      <w:pPr>
        <w:spacing w:after="0" w:line="15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income/(loss) to adjusted EBITDA and net income/(loss) margin to adjusted EBITDA margin for the three months ended June 30,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(43,617)</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107,725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(20,672)</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88,450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39,497</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Costs related to amended debt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12,770</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IPO related and Secondary Offering expenses</w:t>
            </w: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112,552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93,905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220,298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186,666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270,654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527,089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459,335</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income/(loss) margin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113" w:lineRule="exact"/>
        <w:rPr>
          <w:sz w:val="20"/>
          <w:szCs w:val="20"/>
          <w:color w:val="auto"/>
        </w:rPr>
      </w:pPr>
    </w:p>
    <w:p>
      <w:pPr>
        <w:ind w:left="660" w:right="320" w:hanging="328"/>
        <w:spacing w:after="0" w:line="282" w:lineRule="auto"/>
        <w:tabs>
          <w:tab w:leader="none" w:pos="6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additional lease costs due to the relocation of our Louisville office totaling $0.2 million and $0.4 million, respectively, and executive severance totaling $0.0 million and $0.5 million, respectively, for the three and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 (Loss) and Non-GAAP Net Income / (Loss) Per Share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define non-GAAP net income as GAAP net income / (loss) excluding the impact of stock-based compensation, acquisition and integration costs, asset and lease impairments, costs related to our IPO, and the Secondary Offerings, and costs related to amended debt agreements and amortization of intangibles. The tax effects of the adjustments are calculated using a management estimated annual effective non-GAAP tax rate of 21%, which is based on our statutory federal tax rate and provides consistency across interim reporting periods by eliminating the effects of non-recurring and period specific items. Due to the differences in the tax treatment of items excluded from non-GAAP net income, our estimated tax rate on non-GAAP net income may differ from our GAAP tax rate.</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Non-GAAP net income per share is shown on both a basic and diluted basis and is defined as non-GAAP net income divided by the basic or diluted weighted-average shares,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to non-GAAP net income / (loss) and non-GAAP net income / (loss) per share for the three and six months ended June 30,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39,497</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related to amended debt agreements</w:t>
            </w: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and Secondary Offering expenses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78,160</w:t>
            </w:r>
          </w:p>
        </w:tc>
      </w:tr>
      <w:tr>
        <w:trPr>
          <w:trHeight w:val="230"/>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(27,917)</w:t>
            </w: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income/(loss) per share: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173,358,382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133,527,766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172,467,988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127,601,532</w:t>
            </w:r>
          </w:p>
        </w:tc>
      </w:tr>
      <w:tr>
        <w:trPr>
          <w:trHeight w:val="23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181,599,133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137,294,656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181,076,149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131,332,872</w:t>
            </w:r>
          </w:p>
        </w:tc>
      </w:tr>
    </w:tbl>
    <w:p>
      <w:pPr>
        <w:spacing w:after="0" w:line="175" w:lineRule="exact"/>
        <w:rPr>
          <w:sz w:val="20"/>
          <w:szCs w:val="20"/>
          <w:color w:val="auto"/>
        </w:rPr>
      </w:pPr>
    </w:p>
    <w:p>
      <w:pPr>
        <w:ind w:left="660" w:right="320" w:hanging="328"/>
        <w:spacing w:after="0" w:line="282" w:lineRule="auto"/>
        <w:tabs>
          <w:tab w:leader="none" w:pos="6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additional lease costs due to the relocation of our Louisville office totaling $0.2 million and $0.4 million, respectively, and executive severance totaling $0.0 million and $0.5 million, respectively, for the three and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regularly monitor and review our Net Revenue Retention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Revenue Retention Rate for June 30, 2025 and 2024, respectively:</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3"/>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Twelve months ended June 30,</w:t>
            </w:r>
          </w:p>
        </w:tc>
      </w:tr>
      <w:tr>
        <w:trPr>
          <w:trHeight w:val="37"/>
        </w:trPr>
        <w:tc>
          <w:tcPr>
            <w:tcW w:w="7500" w:type="dxa"/>
            <w:vAlign w:val="bottom"/>
            <w:gridSpan w:val="2"/>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Retention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114.6 %</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107.5 %</w:t>
            </w:r>
          </w:p>
        </w:tc>
      </w:tr>
      <w:tr>
        <w:trPr>
          <w:trHeight w:val="27"/>
        </w:trPr>
        <w:tc>
          <w:tcPr>
            <w:tcW w:w="7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Net Revenue Retention Rate compares twelve months of client invoices for our solutions at two period end dates. To calculate our Net Revenue Retention Rate, we first accumulate the total amount invoiced during the twelve months ending with the prior period-end, or Prior Period Invoices. We then calculate the total amount invoiced to those same clients for the twelve months ending with the current period-end, or Current Period Invoices. Current Period Invoices are inclusive of upsell, downsell, pricing changes, clients that cancel or chose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last-twelve month Net Revenue Retention Rate in the ninth quarter after acquisition, which is the earliest point that comparable post-acquisition invoices are available for both the current and prior twelve-month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Count with &gt;$100,000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regularly monitor and review our count of clients who generate more than $100,000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count of clients who generate more than $100,000 of revenue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Twelve months ended June 30,</w:t>
      </w:r>
    </w:p>
    <w:p>
      <w:pPr>
        <w:spacing w:after="0" w:line="27" w:lineRule="exact"/>
        <w:rPr>
          <w:sz w:val="20"/>
          <w:szCs w:val="20"/>
          <w:color w:val="auto"/>
        </w:rPr>
      </w:pPr>
    </w:p>
    <w:tbl>
      <w:tblPr>
        <w:tblLayout w:type="fixed"/>
        <w:tblInd w:w="1040" w:type="dxa"/>
        <w:tblCellMar>
          <w:top w:w="0" w:type="dxa"/>
          <w:left w:w="0" w:type="dxa"/>
          <w:bottom w:w="0" w:type="dxa"/>
          <w:right w:w="0" w:type="dxa"/>
        </w:tblCellMar>
      </w:tblPr>
      <w:tr>
        <w:trPr>
          <w:trHeight w:val="223"/>
        </w:trPr>
        <w:tc>
          <w:tcPr>
            <w:tcW w:w="57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Count with &gt; $100,000 Revenue</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count of clients who generate more than $100,000 of revenue is based on an accumulation of the amounts invoiced to clients over the preceding twelve months. The invoices for acquired clients are included starting in the first full calendar quarter after the date of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adequate amounts of cash to meet current and future needs. Our expected primary uses on a short-term and long-term basis are for working capital, capital expenditures, debt service requirements, and investments in future growth, including acquisitions. We have historically funded our operations and acquisitions through our cash and cash equivalents, cash flows from operations, and debt financings. We believe that 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 including those described under “Risk factors” in the 2024 Form 10-K.</w:t>
      </w:r>
    </w:p>
    <w:p>
      <w:pPr>
        <w:spacing w:after="0" w:line="1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June 30, 2025 and December 31, 2024, we had restricted cash of $21.2 million and $22.4 million, respectively, which consists of cash deposited in lockbox accounts owned by us which are contractually required to be disbursed to participating clients on the following day, as well as cash collected on behalf of healthcare providers from patients that have not yet been remitted to providers. These funds payable are not available for our use and liquidity, and are offset on our balance sheet by an aggregated funds payable liability.</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liquidity is influenced by many factors, including timing of revenue and corresponding cash collections, the amount and timing of investments in strategic initiatives, our investments in property, equipment, and software, as well as other factors described under “Risk factors” in the 2024 Form 10-K. Depending on the severity and direct impact of these factors on us, we may not be able to secure additional financing on acceptable terms,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for the six months ended June 30, 2025 and June 30, 2024, are summarized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340" w:type="dxa"/>
            <w:vAlign w:val="bottom"/>
          </w:tcPr>
          <w:p>
            <w:pPr>
              <w:spacing w:after="0"/>
              <w:rPr>
                <w:sz w:val="20"/>
                <w:szCs w:val="20"/>
                <w:color w:val="auto"/>
              </w:rPr>
            </w:pPr>
          </w:p>
        </w:tc>
        <w:tc>
          <w:tcPr>
            <w:tcW w:w="200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20" w:type="dxa"/>
            <w:vAlign w:val="bottom"/>
          </w:tcPr>
          <w:p>
            <w:pPr>
              <w:spacing w:after="0"/>
              <w:rPr>
                <w:sz w:val="20"/>
                <w:szCs w:val="20"/>
                <w:color w:val="auto"/>
              </w:rPr>
            </w:pP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26,180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515.0 %</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396.6 %</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21,278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106,887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6"/>
              </w:rPr>
              <w:t>35,030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205.1 %</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$161.0 million for the six months ended June 30, 2025 as compared to $26.2 million for the six months ended June 30, 2024, an increase of $134.8 million. This increase is largely driven by increases in revenue and net income, as well as changes in working capital.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$61.7 million for the six months ended June 30, 2025 as compared to $12.4 million for the six months ended June 30, 2024 an increase of cash used of $49.3 million. Cash flows used in investing activities increased due to the purchase of short-term investments totaling $50.5 million during the six months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were $7.6 million for the six months ended June 30, 2025 as compared to $21.3 million for the six months ended June 30, 2024, a decrease of $13.7 million. The decrease was driven by proceeds from last year's IPO, net of underwriting discounts and the corresponding paydown on debt, as well as proceeds from the issuance of debt, net of creditor fees, during the six months ended June 30, 2024. These amounts were offset by a decrease in payments made on debt compared to the prior period, as well as an increase in proceeds from the exercise of stock options during the six months ended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Notes 11 (Accounts Receivable Securitization) and 12 (Debt), for a description of our Credit Facilities.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consolidated financial statements. The preparation of financial statements in conformity with GAAP requires management to make estimates and judgments that affect the reported amounts of assets, liabilities, revenue, and expenses, and disclosures of contingent assets and liabilities. Critical accounting policies are those that we consider to be the most important in portraying our financial condition and results of operations and also require the greatest amount of judgments by management. Judgments or uncertainties regarding the application of these policies may result in materially different amounts being reported under different conditions or using different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the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Election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in the normal course of our business. Such risks are principally associated with credit risk and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Credit risk involves the possibility that a counterparty will not meet its obligations under a financial instrument or client contract, leading to a financial loss. Concentrations of credit risk with respect to our clients are limited due to our diversified client base.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routinely assess the financial strength of our clients through a combination of third-party financial reports, credit monitoring, publicly available information, and direct communication with those clients. We establish payment terms with clients to mitigate credit risk and monitor its accounts receivable credit risk exposure. However, while we actively seek to ensure credit risk, there can be no assurance that in the future it will be able to obtain credit risk insurance at commercially attractive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is related to our First Lien Credit Facility, which bears interest at SOFR plus 2.25% as of June 30, 2025. A hypothetical 100 basis point increase or decrease in the current effective rate would have an impact on our interest expense of approximately $3.1 million for the three months ended June 30, 2025 or $6.2 million for the six months ended June 30, 2025.</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limit exposure to risk, we maintain derivative instruments with creditworthy institutions to hedge against changing interest rate fluctuations. We utilize interest rate swap contracts and other non-derivative hedging instruments to manage such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 13a-15(f) under the Exchange Act)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Part II, Item 1 can be found under Item 1, Financial Statements, Note 20 (Commitments and Contingencies), to the unaudited consolidated financial statements included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Eric Lee (Ric) Sinclair III, our Chief Business Officer, adopted a trading plan intended to satisfy the affirmative defense conditions of Rule 10b5-1(c) under the Exchange Act. Mr. Sinclair’s plan provides for the exercise of up to 450,162 vested stock options and the associated sale of up 450,162 shares of the Company’s common stock. Mr. Sinclair’s trading plan will expire December 31, 2025, or upon the earlier sale of all the shares subject to the plan.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6, 2025, Matthew Hawkins, our Chief Executive Officer, adopted a trading plan intended to satisfy the affirmative defense conditions of Rule 10b5-1(c) under the Exchange Act. Mr. Hawkins’s plan provides for the exercise of up to 300,000 vested stock options and the associated sale of up 300,000 shares of the Company’s common stock. Mr. Hawkins’s trading plan will expire February 19, 2026, or upon the earlier sale of all the shares subject to the plan.</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none of the Company’s other directors or officers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776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189"/>
        </w:trPr>
        <w:tc>
          <w:tcPr>
            <w:tcW w:w="1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760" w:type="dxa"/>
            <w:vAlign w:val="bottom"/>
            <w:tcBorders>
              <w:top w:val="single" w:sz="8" w:color="auto"/>
            </w:tcBorders>
            <w:gridSpan w:val="8"/>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Amended and Restated Certificate of Incorporation of Waystar Holding Corp. (incorporated by reference to Exhibit 4.1</w:t>
              </w:r>
            </w:hyperlink>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20" w:type="dxa"/>
            <w:vAlign w:val="bottom"/>
            <w:tcBorders>
              <w:top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to the Company’s Registration Statement on Form S-8 filed on June 10, 2024).</w:t>
              </w:r>
            </w:hyperlink>
          </w:p>
        </w:tc>
        <w:tc>
          <w:tcPr>
            <w:tcW w:w="4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06"/>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6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Certificate of Amendment of Amended and Restated Certificate of Incorporation of Waystar Holding Corp.</w:t>
              </w:r>
            </w:hyperlink>
          </w:p>
        </w:tc>
        <w:tc>
          <w:tcPr>
            <w:tcW w:w="800" w:type="dxa"/>
            <w:vAlign w:val="bottom"/>
            <w:gridSpan w:val="5"/>
          </w:tcPr>
          <w:p>
            <w:pPr>
              <w:spacing w:after="0"/>
              <w:rPr>
                <w:sz w:val="24"/>
                <w:szCs w:val="24"/>
                <w:color w:val="auto"/>
              </w:rPr>
            </w:pPr>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gridSpan w:val="8"/>
          </w:tcPr>
          <w:p>
            <w:pPr>
              <w:spacing w:after="0" w:line="169"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(incorporated by reference to Exhibit 3.1 to the Company’s Current Report on Form 8-K filed on June 5, 2025).</w:t>
              </w:r>
            </w:hyperlink>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07"/>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gridSpan w:val="8"/>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Amended and Restated Bylaws of Waystar Holding Corp. (incorporated by reference to Exhibit 4.2 to the Company’s</w:t>
              </w:r>
            </w:hyperlink>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Registration Statement on Form S-8 filed on June 10, 2024).</w:t>
              </w:r>
            </w:hyperlink>
          </w:p>
        </w:tc>
        <w:tc>
          <w:tcPr>
            <w:tcW w:w="370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507"/>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77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Amendment No. 1 to the Stockholders Agreement among Waystar Holding Corp. and the other parties named therein,</w:t>
            </w:r>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4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dated as of April 10, 2025 (incorporated by reference to Exhibit 10.1 to the Company’s Quarterly Report on Form 10-</w:t>
            </w:r>
          </w:p>
        </w:tc>
        <w:tc>
          <w:tcPr>
            <w:tcW w:w="120" w:type="dxa"/>
            <w:vAlign w:val="bottom"/>
            <w:gridSpan w:val="2"/>
          </w:tcPr>
          <w:p>
            <w:pPr>
              <w:spacing w:after="0"/>
              <w:rPr>
                <w:sz w:val="14"/>
                <w:szCs w:val="14"/>
                <w:color w:val="auto"/>
              </w:rPr>
            </w:pPr>
          </w:p>
        </w:tc>
      </w:tr>
    </w:tbl>
    <w:p>
      <w:pPr>
        <w:spacing w:after="0" w:line="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u w:val="single" w:color="auto"/>
          <w:color w:val="0000FF"/>
        </w:rPr>
        <w:t>Q filed on April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79"/>
        <w:spacing w:after="0" w:line="283" w:lineRule="auto"/>
        <w:rPr>
          <w:sz w:val="20"/>
          <w:szCs w:val="20"/>
          <w:color w:val="auto"/>
        </w:rPr>
      </w:pPr>
      <w:r>
        <w:rPr>
          <w:rFonts w:ascii="Times New Roman" w:cs="Times New Roman" w:eastAsia="Times New Roman" w:hAnsi="Times New Roman"/>
          <w:sz w:val="16"/>
          <w:szCs w:val="16"/>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1747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949" w:lineRule="exact"/>
        <w:rPr>
          <w:sz w:val="20"/>
          <w:szCs w:val="20"/>
          <w:color w:val="auto"/>
        </w:rPr>
      </w:pPr>
    </w:p>
    <w:p>
      <w:pPr>
        <w:sectPr>
          <w:pgSz w:w="11900" w:h="16838" w:orient="portrait"/>
          <w:cols w:equalWidth="0" w:num="2">
            <w:col w:w="9300" w:space="100"/>
            <w:col w:w="739"/>
          </w:cols>
          <w:pgMar w:left="320" w:top="121" w:right="1440" w:bottom="1440" w:gutter="0" w:footer="0" w:header="0"/>
          <w:type w:val="continuous"/>
        </w:sectPr>
      </w:pP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10.2</w:t>
            </w:r>
            <w:r>
              <w:rPr>
                <w:rFonts w:ascii="Times New Roman" w:cs="Times New Roman" w:eastAsia="Times New Roman" w:hAnsi="Times New Roman"/>
                <w:sz w:val="17"/>
                <w:szCs w:val="17"/>
                <w:color w:val="auto"/>
              </w:rPr>
              <w:t>†</w:t>
            </w:r>
          </w:p>
        </w:tc>
        <w:tc>
          <w:tcPr>
            <w:tcW w:w="7800" w:type="dxa"/>
            <w:vAlign w:val="bottom"/>
            <w:gridSpan w:val="8"/>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Performance Stock Unit Agreement under the Waystar Holding Corp. 2024 Equity Incentive Plan</w:t>
              </w:r>
            </w:hyperlink>
          </w:p>
        </w:tc>
        <w:tc>
          <w:tcPr>
            <w:tcW w:w="180" w:type="dxa"/>
            <w:vAlign w:val="bottom"/>
          </w:tcPr>
          <w:p>
            <w:pPr>
              <w:spacing w:after="0"/>
              <w:rPr>
                <w:sz w:val="18"/>
                <w:szCs w:val="18"/>
                <w:color w:val="auto"/>
              </w:rPr>
            </w:pPr>
          </w:p>
        </w:tc>
      </w:tr>
      <w:tr>
        <w:trPr>
          <w:trHeight w:val="169"/>
        </w:trPr>
        <w:tc>
          <w:tcPr>
            <w:tcW w:w="1520" w:type="dxa"/>
            <w:vAlign w:val="bottom"/>
          </w:tcPr>
          <w:p>
            <w:pPr>
              <w:spacing w:after="0"/>
              <w:rPr>
                <w:sz w:val="14"/>
                <w:szCs w:val="14"/>
                <w:color w:val="auto"/>
              </w:rPr>
            </w:pPr>
          </w:p>
        </w:tc>
        <w:tc>
          <w:tcPr>
            <w:tcW w:w="6900" w:type="dxa"/>
            <w:vAlign w:val="bottom"/>
            <w:tcBorders>
              <w:top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(incorporated by reference to Exhibit 10.1 to the Company’s Current Report on Form 8-K filed on May 12,</w:t>
              </w:r>
            </w:hyperlink>
          </w:p>
        </w:tc>
        <w:tc>
          <w:tcPr>
            <w:tcW w:w="760" w:type="dxa"/>
            <w:vAlign w:val="bottom"/>
            <w:gridSpan w:val="4"/>
          </w:tcPr>
          <w:p>
            <w:pPr>
              <w:jc w:val="right"/>
              <w:ind w:right="260"/>
              <w:spacing w:after="0" w:line="169"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2025).</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07"/>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7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adopted pursuant to Section 302 of the Sarbanes-Oxley Act of 2002.</w:t>
            </w:r>
          </w:p>
        </w:tc>
        <w:tc>
          <w:tcPr>
            <w:tcW w:w="420" w:type="dxa"/>
            <w:vAlign w:val="bottom"/>
            <w:gridSpan w:val="3"/>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49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7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adopted pursuant to Section 302 of the Sarbanes-Oxley Act of 2002.</w:t>
            </w:r>
          </w:p>
        </w:tc>
        <w:tc>
          <w:tcPr>
            <w:tcW w:w="540" w:type="dxa"/>
            <w:vAlign w:val="bottom"/>
            <w:gridSpan w:val="4"/>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15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34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9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32.1 *</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w:t>
            </w:r>
          </w:p>
        </w:tc>
        <w:tc>
          <w:tcPr>
            <w:tcW w:w="180" w:type="dxa"/>
            <w:vAlign w:val="bottom"/>
          </w:tcPr>
          <w:p>
            <w:pPr>
              <w:spacing w:after="0"/>
              <w:rPr>
                <w:sz w:val="24"/>
                <w:szCs w:val="24"/>
                <w:color w:val="auto"/>
              </w:rPr>
            </w:pPr>
          </w:p>
        </w:tc>
      </w:tr>
      <w:tr>
        <w:trPr>
          <w:trHeight w:val="169"/>
        </w:trPr>
        <w:tc>
          <w:tcPr>
            <w:tcW w:w="1520" w:type="dxa"/>
            <w:vAlign w:val="bottom"/>
          </w:tcPr>
          <w:p>
            <w:pPr>
              <w:spacing w:after="0"/>
              <w:rPr>
                <w:sz w:val="14"/>
                <w:szCs w:val="14"/>
                <w:color w:val="auto"/>
              </w:rPr>
            </w:pPr>
          </w:p>
        </w:tc>
        <w:tc>
          <w:tcPr>
            <w:tcW w:w="7720" w:type="dxa"/>
            <w:vAlign w:val="bottom"/>
            <w:tcBorders>
              <w:top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Sarbanes-Oxley Act of 2002.</w:t>
            </w:r>
          </w:p>
        </w:tc>
        <w:tc>
          <w:tcPr>
            <w:tcW w:w="80" w:type="dxa"/>
            <w:vAlign w:val="bottom"/>
          </w:tcPr>
          <w:p>
            <w:pPr>
              <w:spacing w:after="0"/>
              <w:rPr>
                <w:sz w:val="14"/>
                <w:szCs w:val="14"/>
                <w:color w:val="auto"/>
              </w:rPr>
            </w:pPr>
          </w:p>
        </w:tc>
        <w:tc>
          <w:tcPr>
            <w:tcW w:w="18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15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32.2 *</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w:t>
            </w:r>
          </w:p>
        </w:tc>
        <w:tc>
          <w:tcPr>
            <w:tcW w:w="180" w:type="dxa"/>
            <w:vAlign w:val="bottom"/>
          </w:tcPr>
          <w:p>
            <w:pPr>
              <w:spacing w:after="0"/>
              <w:rPr>
                <w:sz w:val="24"/>
                <w:szCs w:val="24"/>
                <w:color w:val="auto"/>
              </w:rPr>
            </w:pPr>
          </w:p>
        </w:tc>
      </w:tr>
      <w:tr>
        <w:trPr>
          <w:trHeight w:val="169"/>
        </w:trPr>
        <w:tc>
          <w:tcPr>
            <w:tcW w:w="1520" w:type="dxa"/>
            <w:vAlign w:val="bottom"/>
          </w:tcPr>
          <w:p>
            <w:pPr>
              <w:spacing w:after="0"/>
              <w:rPr>
                <w:sz w:val="14"/>
                <w:szCs w:val="14"/>
                <w:color w:val="auto"/>
              </w:rPr>
            </w:pPr>
          </w:p>
        </w:tc>
        <w:tc>
          <w:tcPr>
            <w:tcW w:w="7660" w:type="dxa"/>
            <w:vAlign w:val="bottom"/>
            <w:tcBorders>
              <w:top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40" w:type="dxa"/>
            <w:vAlign w:val="bottom"/>
            <w:gridSpan w:val="2"/>
          </w:tcPr>
          <w:p>
            <w:pPr>
              <w:spacing w:after="0"/>
              <w:rPr>
                <w:sz w:val="14"/>
                <w:szCs w:val="14"/>
                <w:color w:val="auto"/>
              </w:rPr>
            </w:pPr>
          </w:p>
        </w:tc>
        <w:tc>
          <w:tcPr>
            <w:tcW w:w="18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15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w:t>
            </w:r>
          </w:p>
        </w:tc>
        <w:tc>
          <w:tcPr>
            <w:tcW w:w="180" w:type="dxa"/>
            <w:vAlign w:val="bottom"/>
          </w:tcPr>
          <w:p>
            <w:pPr>
              <w:spacing w:after="0"/>
              <w:rPr>
                <w:sz w:val="24"/>
                <w:szCs w:val="24"/>
                <w:color w:val="auto"/>
              </w:rPr>
            </w:pPr>
          </w:p>
        </w:tc>
      </w:tr>
      <w:tr>
        <w:trPr>
          <w:trHeight w:val="224"/>
        </w:trPr>
        <w:tc>
          <w:tcPr>
            <w:tcW w:w="1520" w:type="dxa"/>
            <w:vAlign w:val="bottom"/>
          </w:tcPr>
          <w:p>
            <w:pPr>
              <w:spacing w:after="0"/>
              <w:rPr>
                <w:sz w:val="19"/>
                <w:szCs w:val="19"/>
                <w:color w:val="auto"/>
              </w:rPr>
            </w:pP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are embedded within the inline XBRL document.</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6"/>
              </w:rPr>
              <w:t>X</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of compensatory plan or arrangement.</w:t>
      </w: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right="20" w:hanging="172"/>
        <w:spacing w:after="0" w:line="282" w:lineRule="auto"/>
        <w:tabs>
          <w:tab w:leader="none" w:pos="1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liability of that Section. Such exhibit shall not be deemed incorporated into any filing under the Securities Act or the Exchange Act.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 City of Lehi, Utah, on July 30, 2025.</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37" w:lineRule="exact"/>
        <w:rPr>
          <w:sz w:val="20"/>
          <w:szCs w:val="20"/>
          <w:color w:val="auto"/>
        </w:rPr>
      </w:pPr>
    </w:p>
    <w:p>
      <w:pPr>
        <w:ind w:left="5120"/>
        <w:spacing w:after="0"/>
        <w:tabs>
          <w:tab w:leader="none" w:pos="5560" w:val="left"/>
        </w:tabs>
        <w:rPr>
          <w:sz w:val="20"/>
          <w:szCs w:val="20"/>
          <w:color w:val="auto"/>
        </w:rPr>
      </w:pPr>
      <w:r>
        <w:rPr>
          <w:rFonts w:ascii="Times New Roman" w:cs="Times New Roman" w:eastAsia="Times New Roman" w:hAnsi="Times New Roman"/>
          <w:sz w:val="18"/>
          <w:szCs w:val="18"/>
          <w:color w:val="auto"/>
        </w:rPr>
        <w:t>By:</w:t>
        <w:tab/>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34290</wp:posOffset>
            </wp:positionV>
            <wp:extent cx="3608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7" w:lineRule="exact"/>
        <w:rPr>
          <w:sz w:val="20"/>
          <w:szCs w:val="20"/>
          <w:color w:val="auto"/>
        </w:rPr>
      </w:pPr>
    </w:p>
    <w:tbl>
      <w:tblPr>
        <w:tblLayout w:type="fixed"/>
        <w:tblInd w:w="512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Matthew J. Hawkins</w:t>
            </w:r>
          </w:p>
        </w:tc>
      </w:tr>
      <w:tr>
        <w:trPr>
          <w:trHeight w:val="270"/>
        </w:trPr>
        <w:tc>
          <w:tcPr>
            <w:tcW w:w="44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10"/>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Steven M. Oreskovich</w:t>
            </w:r>
          </w:p>
        </w:tc>
      </w:tr>
      <w:tr>
        <w:trPr>
          <w:trHeight w:val="27"/>
        </w:trPr>
        <w:tc>
          <w:tcPr>
            <w:tcW w:w="4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Steven M. Oreskovich</w:t>
            </w:r>
          </w:p>
        </w:tc>
      </w:tr>
      <w:tr>
        <w:trPr>
          <w:trHeight w:val="270"/>
        </w:trPr>
        <w:tc>
          <w:tcPr>
            <w:tcW w:w="44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02"/>
        </w:trPr>
        <w:tc>
          <w:tcPr>
            <w:tcW w:w="10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41</w:t>
            </w:r>
          </w:p>
        </w:tc>
        <w:tc>
          <w:tcPr>
            <w:tcW w:w="50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AMENDMENT NO. 1 TO THE WAYSTAR HOLDING CORP. STOCKHOLDERS AGREEMENT</w:t>
      </w:r>
    </w:p>
    <w:p>
      <w:pPr>
        <w:spacing w:after="0" w:line="269" w:lineRule="exact"/>
        <w:rPr>
          <w:sz w:val="20"/>
          <w:szCs w:val="20"/>
          <w:color w:val="auto"/>
        </w:rPr>
      </w:pPr>
    </w:p>
    <w:p>
      <w:pPr>
        <w:jc w:val="both"/>
        <w:ind w:firstLine="493"/>
        <w:spacing w:after="0" w:line="279" w:lineRule="auto"/>
        <w:rPr>
          <w:sz w:val="20"/>
          <w:szCs w:val="20"/>
          <w:color w:val="auto"/>
        </w:rPr>
      </w:pPr>
      <w:r>
        <w:rPr>
          <w:rFonts w:ascii="Times New Roman" w:cs="Times New Roman" w:eastAsia="Times New Roman" w:hAnsi="Times New Roman"/>
          <w:sz w:val="13"/>
          <w:szCs w:val="13"/>
          <w:color w:val="auto"/>
        </w:rPr>
        <w:t>This AMENDMENT NO. 1 TO THE WAYSTAR HOLDING CORP. STOCKHOLDERS AGREEMENT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entered into as of April 10, 2025, among (i) Waystar Holding Corp.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(ii) Derby LuxCo S.à r.l, in its capacity as the EQT Stockholders; (iii) CPP Investment Board Private Holdings (4) Inc., in its capacity as the CPPIB Stockholders; (iv) BCPE Derby Investor, LP, in its capacity as a Bain Stockholder; and (v) BCPE Derby (DE) SPV, LP, in its capacity as a Bain Stockholder.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RECITALS:</w:t>
      </w:r>
    </w:p>
    <w:p>
      <w:pPr>
        <w:spacing w:after="0" w:line="283" w:lineRule="exact"/>
        <w:rPr>
          <w:sz w:val="20"/>
          <w:szCs w:val="20"/>
          <w:color w:val="auto"/>
        </w:rPr>
      </w:pPr>
    </w:p>
    <w:p>
      <w:pPr>
        <w:jc w:val="both"/>
        <w:ind w:firstLine="493"/>
        <w:spacing w:after="0" w:line="299" w:lineRule="auto"/>
        <w:rPr>
          <w:sz w:val="20"/>
          <w:szCs w:val="20"/>
          <w:color w:val="auto"/>
        </w:rPr>
      </w:pPr>
      <w:r>
        <w:rPr>
          <w:rFonts w:ascii="Times New Roman" w:cs="Times New Roman" w:eastAsia="Times New Roman" w:hAnsi="Times New Roman"/>
          <w:sz w:val="13"/>
          <w:szCs w:val="13"/>
          <w:color w:val="auto"/>
        </w:rPr>
        <w:t>WHEREAS, the Company, the EQT Stockholders, the CPPIB Stockholders, the Bain Stockholders, and certain other entities and persons are parties to a Stockholders Rights Agreement, dated as of June 10, 2024 (as amended, supplemented or otherwise modified from time to time,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w:t>
      </w:r>
    </w:p>
    <w:p>
      <w:pPr>
        <w:spacing w:after="0" w:line="208" w:lineRule="exact"/>
        <w:rPr>
          <w:sz w:val="20"/>
          <w:szCs w:val="20"/>
          <w:color w:val="auto"/>
        </w:rPr>
      </w:pPr>
    </w:p>
    <w:p>
      <w:pPr>
        <w:jc w:val="both"/>
        <w:ind w:firstLine="493"/>
        <w:spacing w:after="0" w:line="293" w:lineRule="auto"/>
        <w:rPr>
          <w:sz w:val="20"/>
          <w:szCs w:val="20"/>
          <w:color w:val="auto"/>
        </w:rPr>
      </w:pPr>
      <w:r>
        <w:rPr>
          <w:rFonts w:ascii="Times New Roman" w:cs="Times New Roman" w:eastAsia="Times New Roman" w:hAnsi="Times New Roman"/>
          <w:sz w:val="13"/>
          <w:szCs w:val="13"/>
          <w:color w:val="auto"/>
        </w:rPr>
        <w:t>WHEREAS, the Company, the EQT Stockholders, the CPPIB Stockholders and the Bain Stockholders desire to amend the Agreement in order to permit the expansion of the Board of Directors of the Company to twelve directors and to revise the director resignation notice requirements applicable to EQT Director Nominees, CPPIB Director Nominees and Bain Director Nominees under certain circumstances.</w:t>
      </w: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NOW, THEREFORE, for good and valuable consideration, the receipt and sufficiency of which is hereby acknowledged, the parties hereto agree as follows: SECTION 1. </w:t>
      </w:r>
      <w:r>
        <w:rPr>
          <w:rFonts w:ascii="Times New Roman" w:cs="Times New Roman" w:eastAsia="Times New Roman" w:hAnsi="Times New Roman"/>
          <w:sz w:val="13"/>
          <w:szCs w:val="13"/>
          <w:i w:val="1"/>
          <w:iCs w:val="1"/>
          <w:color w:val="auto"/>
        </w:rPr>
        <w:t>Definitions</w:t>
      </w:r>
      <w:r>
        <w:rPr>
          <w:rFonts w:ascii="Times New Roman" w:cs="Times New Roman" w:eastAsia="Times New Roman" w:hAnsi="Times New Roman"/>
          <w:sz w:val="13"/>
          <w:szCs w:val="13"/>
          <w:color w:val="auto"/>
        </w:rPr>
        <w:t>. Except as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otherwise defined in this Amendment, each term defined in the Agreement is used herein as defined therein.</w:t>
      </w:r>
    </w:p>
    <w:p>
      <w:pPr>
        <w:spacing w:after="0" w:line="105" w:lineRule="exact"/>
        <w:rPr>
          <w:sz w:val="20"/>
          <w:szCs w:val="20"/>
          <w:color w:val="auto"/>
        </w:rPr>
      </w:pPr>
    </w:p>
    <w:p>
      <w:pPr>
        <w:jc w:val="both"/>
        <w:ind w:firstLine="493"/>
        <w:spacing w:after="0" w:line="303"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i w:val="1"/>
          <w:iCs w:val="1"/>
          <w:color w:val="auto"/>
        </w:rPr>
        <w:t>Board Size Amendment</w:t>
      </w:r>
      <w:r>
        <w:rPr>
          <w:rFonts w:ascii="Times New Roman" w:cs="Times New Roman" w:eastAsia="Times New Roman" w:hAnsi="Times New Roman"/>
          <w:sz w:val="13"/>
          <w:szCs w:val="13"/>
          <w:color w:val="auto"/>
        </w:rPr>
        <w:t>. Effective as of the Amendment Effective Date (as defined below), the first sentence of Section 2.2(a) of the Agreement is hereby amended by deleting it in its entirety and replacing it with the following sentence:</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Composition of the Board</w:t>
      </w:r>
      <w:r>
        <w:rPr>
          <w:rFonts w:ascii="Times New Roman" w:cs="Times New Roman" w:eastAsia="Times New Roman" w:hAnsi="Times New Roman"/>
          <w:sz w:val="13"/>
          <w:szCs w:val="13"/>
          <w:color w:val="auto"/>
        </w:rPr>
        <w:t>. At and following the date hereof, each of the Stockholders, severally and not jointly, agrees with the Company to take</w:t>
      </w:r>
    </w:p>
    <w:p>
      <w:pPr>
        <w:spacing w:after="0" w:line="26" w:lineRule="exact"/>
        <w:rPr>
          <w:sz w:val="20"/>
          <w:szCs w:val="20"/>
          <w:color w:val="auto"/>
        </w:rPr>
      </w:pPr>
    </w:p>
    <w:p>
      <w:pPr>
        <w:ind w:left="1240" w:right="440"/>
        <w:spacing w:after="0" w:line="269" w:lineRule="auto"/>
        <w:rPr>
          <w:sz w:val="20"/>
          <w:szCs w:val="20"/>
          <w:color w:val="auto"/>
        </w:rPr>
      </w:pPr>
      <w:r>
        <w:rPr>
          <w:rFonts w:ascii="Times New Roman" w:cs="Times New Roman" w:eastAsia="Times New Roman" w:hAnsi="Times New Roman"/>
          <w:sz w:val="13"/>
          <w:szCs w:val="13"/>
          <w:color w:val="auto"/>
        </w:rPr>
        <w:t>all Necessary Action to cause (x) the total number of directors constituting the Board to be comprised of (i) not more than twelve (12) directors for so long as any of the EQT Stockholders, CPPIB Stockholders, or Bain Stockholders have a right to nominate a director pursuant to this Section 2.2(a), and</w:t>
      </w:r>
    </w:p>
    <w:p>
      <w:pPr>
        <w:spacing w:after="0" w:line="1" w:lineRule="exact"/>
        <w:rPr>
          <w:sz w:val="20"/>
          <w:szCs w:val="20"/>
          <w:color w:val="auto"/>
        </w:rPr>
      </w:pPr>
    </w:p>
    <w:p>
      <w:pPr>
        <w:ind w:left="1240" w:right="260" w:hanging="7"/>
        <w:spacing w:after="0" w:line="265" w:lineRule="auto"/>
        <w:tabs>
          <w:tab w:leader="none" w:pos="143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less than the number of directors as is required to allow for the election of each EQT Director Nominee (as defined below), CPPIB Director Nominee (as defined below), and Bain Director Nominee (as defined below), as well as each Independent Director Nominee (as defined below) and the CEO Director Nominee (as defined below) and (y) those individuals to be nominated in accordance with this Section 2.2, initially (i) two (2) of whom have been nominated by the EQT Stockholders, initially Ethan Waxman and Eric Liu, and thereafter designated pursuant to Section</w:t>
      </w:r>
    </w:p>
    <w:p>
      <w:pPr>
        <w:spacing w:after="0" w:line="1" w:lineRule="exact"/>
        <w:rPr>
          <w:rFonts w:ascii="Times New Roman" w:cs="Times New Roman" w:eastAsia="Times New Roman" w:hAnsi="Times New Roman"/>
          <w:sz w:val="13"/>
          <w:szCs w:val="13"/>
          <w:color w:val="auto"/>
        </w:rPr>
      </w:pPr>
    </w:p>
    <w:p>
      <w:pPr>
        <w:ind w:left="1240" w:right="120"/>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2.2(b) or Section 2.2(g) (each, an “</w:t>
      </w:r>
      <w:r>
        <w:rPr>
          <w:rFonts w:ascii="Times New Roman" w:cs="Times New Roman" w:eastAsia="Times New Roman" w:hAnsi="Times New Roman"/>
          <w:sz w:val="13"/>
          <w:szCs w:val="13"/>
          <w:u w:val="single" w:color="auto"/>
          <w:color w:val="auto"/>
        </w:rPr>
        <w:t>E</w:t>
      </w:r>
      <w:r>
        <w:rPr>
          <w:rFonts w:ascii="Times New Roman" w:cs="Times New Roman" w:eastAsia="Times New Roman" w:hAnsi="Times New Roman"/>
          <w:sz w:val="13"/>
          <w:szCs w:val="13"/>
          <w:color w:val="auto"/>
        </w:rPr>
        <w:t>Q</w:t>
      </w:r>
      <w:r>
        <w:rPr>
          <w:rFonts w:ascii="Times New Roman" w:cs="Times New Roman" w:eastAsia="Times New Roman" w:hAnsi="Times New Roman"/>
          <w:sz w:val="13"/>
          <w:szCs w:val="13"/>
          <w:u w:val="single" w:color="auto"/>
          <w:color w:val="auto"/>
        </w:rPr>
        <w:t>T Director Nominee</w:t>
      </w:r>
      <w:r>
        <w:rPr>
          <w:rFonts w:ascii="Times New Roman" w:cs="Times New Roman" w:eastAsia="Times New Roman" w:hAnsi="Times New Roman"/>
          <w:sz w:val="13"/>
          <w:szCs w:val="13"/>
          <w:color w:val="auto"/>
        </w:rPr>
        <w:t>”), (ii) one (1) of whom has been nominated by the CPPIB Stockholders, initially Samuel Blaichman, and thereafter designated pursuant to Section 2.2(c) or Section 2.2(g) (the “</w:t>
      </w:r>
      <w:r>
        <w:rPr>
          <w:rFonts w:ascii="Times New Roman" w:cs="Times New Roman" w:eastAsia="Times New Roman" w:hAnsi="Times New Roman"/>
          <w:sz w:val="13"/>
          <w:szCs w:val="13"/>
          <w:u w:val="single" w:color="auto"/>
          <w:color w:val="auto"/>
        </w:rPr>
        <w:t>CPPIB Director Nominee</w:t>
      </w:r>
      <w:r>
        <w:rPr>
          <w:rFonts w:ascii="Times New Roman" w:cs="Times New Roman" w:eastAsia="Times New Roman" w:hAnsi="Times New Roman"/>
          <w:sz w:val="13"/>
          <w:szCs w:val="13"/>
          <w:color w:val="auto"/>
        </w:rPr>
        <w:t>”), (iii) one (1) of whom has been nominated by the Bain Stockholders, initially Paul Moskowitz, and thereafter designated pursuant to Section 2.2(d) or Section 2.2(g) (the “</w:t>
      </w:r>
      <w:r>
        <w:rPr>
          <w:rFonts w:ascii="Times New Roman" w:cs="Times New Roman" w:eastAsia="Times New Roman" w:hAnsi="Times New Roman"/>
          <w:sz w:val="13"/>
          <w:szCs w:val="13"/>
          <w:u w:val="single" w:color="auto"/>
          <w:color w:val="auto"/>
        </w:rPr>
        <w:t>Bain Director Nominee</w:t>
      </w:r>
      <w:r>
        <w:rPr>
          <w:rFonts w:ascii="Times New Roman" w:cs="Times New Roman" w:eastAsia="Times New Roman" w:hAnsi="Times New Roman"/>
          <w:sz w:val="13"/>
          <w:szCs w:val="13"/>
          <w:color w:val="auto"/>
        </w:rPr>
        <w:t>”, and together with the EQT Director Nominees and the CPPIB Director Nominee, the “</w:t>
      </w:r>
      <w:r>
        <w:rPr>
          <w:rFonts w:ascii="Times New Roman" w:cs="Times New Roman" w:eastAsia="Times New Roman" w:hAnsi="Times New Roman"/>
          <w:sz w:val="13"/>
          <w:szCs w:val="13"/>
          <w:u w:val="single" w:color="auto"/>
          <w:color w:val="auto"/>
        </w:rPr>
        <w:t>Stockholder Nominees</w:t>
      </w:r>
      <w:r>
        <w:rPr>
          <w:rFonts w:ascii="Times New Roman" w:cs="Times New Roman" w:eastAsia="Times New Roman" w:hAnsi="Times New Roman"/>
          <w:sz w:val="13"/>
          <w:szCs w:val="13"/>
          <w:color w:val="auto"/>
        </w:rPr>
        <w:t>”), (iv) five (5) of whom have been nominated pursuant to Section 2.2(e) or Section 2.2(g) (each, an “</w:t>
      </w:r>
      <w:r>
        <w:rPr>
          <w:rFonts w:ascii="Times New Roman" w:cs="Times New Roman" w:eastAsia="Times New Roman" w:hAnsi="Times New Roman"/>
          <w:sz w:val="13"/>
          <w:szCs w:val="13"/>
          <w:u w:val="single" w:color="auto"/>
          <w:color w:val="auto"/>
        </w:rPr>
        <w:t>Independent Director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Nominee</w:t>
      </w:r>
      <w:r>
        <w:rPr>
          <w:rFonts w:ascii="Times New Roman" w:cs="Times New Roman" w:eastAsia="Times New Roman" w:hAnsi="Times New Roman"/>
          <w:sz w:val="13"/>
          <w:szCs w:val="13"/>
          <w:color w:val="auto"/>
        </w:rPr>
        <w:t xml:space="preserve">”), and (v) one of whom shall be the then-serving Chief Executive Officer of the Company (p </w:t>
      </w:r>
      <w:r>
        <w:rPr>
          <w:rFonts w:ascii="Times New Roman" w:cs="Times New Roman" w:eastAsia="Times New Roman" w:hAnsi="Times New Roman"/>
          <w:sz w:val="13"/>
          <w:szCs w:val="13"/>
          <w:u w:val="single" w:color="auto"/>
          <w:color w:val="auto"/>
        </w:rPr>
        <w:t>rovided</w:t>
      </w:r>
      <w:r>
        <w:rPr>
          <w:rFonts w:ascii="Times New Roman" w:cs="Times New Roman" w:eastAsia="Times New Roman" w:hAnsi="Times New Roman"/>
          <w:sz w:val="13"/>
          <w:szCs w:val="13"/>
          <w:color w:val="auto"/>
        </w:rPr>
        <w:t>, however, that if, as of the date of such nomination, the person then-serving as Chief Executive Officer is not expected to be in office as the Chief Executive Officer as of the date of the relevant meeting, the Company shall not be required to nominate such person and may instead nominate such person, if any, who is expected to be serving as</w:t>
      </w:r>
    </w:p>
    <w:p>
      <w:pPr>
        <w:sectPr>
          <w:pgSz w:w="11900" w:h="16838" w:orient="portrait"/>
          <w:cols w:equalWidth="0" w:num="1">
            <w:col w:w="11040"/>
          </w:cols>
          <w:pgMar w:left="420" w:top="1338" w:right="439" w:bottom="1440" w:gutter="0" w:footer="0" w:header="0"/>
        </w:sectPr>
      </w:pPr>
    </w:p>
    <w:bookmarkStart w:id="49" w:name="page50"/>
    <w:bookmarkEnd w:id="49"/>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Chief Executive Officer (or interim Chief Executive Officer) as of the date of such meeting (the “</w:t>
      </w:r>
      <w:r>
        <w:rPr>
          <w:rFonts w:ascii="Times New Roman" w:cs="Times New Roman" w:eastAsia="Times New Roman" w:hAnsi="Times New Roman"/>
          <w:sz w:val="13"/>
          <w:szCs w:val="13"/>
          <w:u w:val="single" w:color="auto"/>
          <w:color w:val="auto"/>
        </w:rPr>
        <w:t>CEO Director Nominee</w:t>
      </w:r>
      <w:r>
        <w:rPr>
          <w:rFonts w:ascii="Times New Roman" w:cs="Times New Roman" w:eastAsia="Times New Roman" w:hAnsi="Times New Roman"/>
          <w:sz w:val="13"/>
          <w:szCs w:val="13"/>
          <w:color w:val="auto"/>
        </w:rPr>
        <w:t>”)).</w:t>
      </w:r>
    </w:p>
    <w:p>
      <w:pPr>
        <w:spacing w:after="0" w:line="281" w:lineRule="exact"/>
        <w:rPr>
          <w:sz w:val="20"/>
          <w:szCs w:val="20"/>
          <w:color w:val="auto"/>
        </w:rPr>
      </w:pPr>
    </w:p>
    <w:p>
      <w:pPr>
        <w:ind w:firstLine="493"/>
        <w:spacing w:after="0" w:line="303" w:lineRule="auto"/>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i w:val="1"/>
          <w:iCs w:val="1"/>
          <w:color w:val="auto"/>
        </w:rPr>
        <w:t>Resignation Notice Amendment</w:t>
      </w:r>
      <w:r>
        <w:rPr>
          <w:rFonts w:ascii="Times New Roman" w:cs="Times New Roman" w:eastAsia="Times New Roman" w:hAnsi="Times New Roman"/>
          <w:sz w:val="13"/>
          <w:szCs w:val="13"/>
          <w:color w:val="auto"/>
        </w:rPr>
        <w:t>. Effective as of the Amendment Effective Date, the first sentence of Section 2.2(f) of the Agreement is hereby amended by deleting it in its entirety and replacing it with the following sentence:</w:t>
      </w:r>
    </w:p>
    <w:p>
      <w:pPr>
        <w:spacing w:after="0" w:line="205" w:lineRule="exact"/>
        <w:rPr>
          <w:sz w:val="20"/>
          <w:szCs w:val="20"/>
          <w:color w:val="auto"/>
        </w:rPr>
      </w:pPr>
    </w:p>
    <w:p>
      <w:pPr>
        <w:ind w:left="980" w:right="360" w:firstLine="5"/>
        <w:spacing w:after="0" w:line="269" w:lineRule="auto"/>
        <w:tabs>
          <w:tab w:leader="none" w:pos="1149"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Decrease in Directors</w:t>
      </w:r>
      <w:r>
        <w:rPr>
          <w:rFonts w:ascii="Times New Roman" w:cs="Times New Roman" w:eastAsia="Times New Roman" w:hAnsi="Times New Roman"/>
          <w:sz w:val="13"/>
          <w:szCs w:val="13"/>
          <w:color w:val="auto"/>
        </w:rPr>
        <w:t>. Upon any decrease in the number of directors that the EQT Stockholders, the CPPIB Stockholders, or the Bain Stockholders, as applicable, are entitled to designate for nomination to the Board pursuant to Section 2.2(b), Section 2.2(c), or Section 2.2(d), the EQT Stockholders,</w:t>
      </w:r>
    </w:p>
    <w:p>
      <w:pPr>
        <w:spacing w:after="0" w:line="1" w:lineRule="exact"/>
        <w:rPr>
          <w:rFonts w:ascii="Times New Roman" w:cs="Times New Roman" w:eastAsia="Times New Roman" w:hAnsi="Times New Roman"/>
          <w:sz w:val="13"/>
          <w:szCs w:val="13"/>
          <w:color w:val="auto"/>
        </w:rPr>
      </w:pPr>
    </w:p>
    <w:p>
      <w:pPr>
        <w:ind w:left="980" w:right="160"/>
        <w:spacing w:after="0" w:line="27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CPPIB Stockholders, or the Bain Stockholders, as applicable, shall take all Necessary Action to cause the appropriate number of EQT Director Nominees, the CPPIB Director Nominee, or the Bain Director Nominee, as applicable, to offer to tender their resignation at least sixty (60) days prior to the expected date of the Company’s annual meeting of stockholders for which the Company has not yet proposed a slate of directors and at which such EQT Director Nominee, CPPIB Director Nominee, or Bain Director Nominee, as applicable, that has offered or will offer to tender his or her resignation would otherwise be nominated for election; p </w:t>
      </w:r>
      <w:r>
        <w:rPr>
          <w:rFonts w:ascii="Times New Roman" w:cs="Times New Roman" w:eastAsia="Times New Roman" w:hAnsi="Times New Roman"/>
          <w:sz w:val="13"/>
          <w:szCs w:val="13"/>
          <w:u w:val="single" w:color="auto"/>
          <w:color w:val="auto"/>
        </w:rPr>
        <w:t>rovided</w:t>
      </w:r>
      <w:r>
        <w:rPr>
          <w:rFonts w:ascii="Times New Roman" w:cs="Times New Roman" w:eastAsia="Times New Roman" w:hAnsi="Times New Roman"/>
          <w:sz w:val="13"/>
          <w:szCs w:val="13"/>
          <w:color w:val="auto"/>
        </w:rPr>
        <w:t>, that, for the avoidance of doubt, such resignation may be made effective as of the last day of the then-current term of such director.</w:t>
      </w:r>
    </w:p>
    <w:p>
      <w:pPr>
        <w:spacing w:after="0" w:line="223" w:lineRule="exact"/>
        <w:rPr>
          <w:sz w:val="20"/>
          <w:szCs w:val="20"/>
          <w:color w:val="auto"/>
        </w:rPr>
      </w:pPr>
    </w:p>
    <w:p>
      <w:pPr>
        <w:jc w:val="both"/>
        <w:ind w:firstLine="493"/>
        <w:spacing w:after="0" w:line="281" w:lineRule="auto"/>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i w:val="1"/>
          <w:iCs w:val="1"/>
          <w:color w:val="auto"/>
        </w:rPr>
        <w:t>Conditions to Effectiveness of this Amendment</w:t>
      </w:r>
      <w:r>
        <w:rPr>
          <w:rFonts w:ascii="Times New Roman" w:cs="Times New Roman" w:eastAsia="Times New Roman" w:hAnsi="Times New Roman"/>
          <w:sz w:val="13"/>
          <w:szCs w:val="13"/>
          <w:color w:val="auto"/>
        </w:rPr>
        <w:t>. This Amendment shall become effective as of 12:01 a.m. (New York City time) on the date (such date, the “</w:t>
      </w:r>
      <w:r>
        <w:rPr>
          <w:rFonts w:ascii="Times New Roman" w:cs="Times New Roman" w:eastAsia="Times New Roman" w:hAnsi="Times New Roman"/>
          <w:sz w:val="13"/>
          <w:szCs w:val="13"/>
          <w:u w:val="single" w:color="auto"/>
          <w:color w:val="auto"/>
        </w:rPr>
        <w:t>Amendment Effective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that each of the Company, the EQT Stockholders, the CPPIB Stockholders and the Bain Stockholders has executed and delivered counterparts of this Amendment in accordance with Section 4.2 of the Agreement.</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i w:val="1"/>
          <w:iCs w:val="1"/>
          <w:color w:val="auto"/>
        </w:rPr>
        <w:t>Miscellaneous</w:t>
      </w:r>
      <w:r>
        <w:rPr>
          <w:rFonts w:ascii="Times New Roman" w:cs="Times New Roman" w:eastAsia="Times New Roman" w:hAnsi="Times New Roman"/>
          <w:sz w:val="13"/>
          <w:szCs w:val="13"/>
          <w:color w:val="auto"/>
        </w:rPr>
        <w:t>.</w:t>
      </w:r>
    </w:p>
    <w:p>
      <w:pPr>
        <w:spacing w:after="0" w:line="285" w:lineRule="exact"/>
        <w:rPr>
          <w:sz w:val="20"/>
          <w:szCs w:val="20"/>
          <w:color w:val="auto"/>
        </w:rPr>
      </w:pPr>
    </w:p>
    <w:p>
      <w:pPr>
        <w:ind w:right="20" w:firstLine="985"/>
        <w:spacing w:after="0" w:line="299" w:lineRule="auto"/>
        <w:tabs>
          <w:tab w:leader="none" w:pos="120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and after the Amendment Effective Date, (i) each reference in the Agreement to “this Agreement”, “hereunder”, “hereof”, “herein” or words of like import referring to the Agreement shall mean and be a reference to the Agreement after giving effect to this Amendment.</w:t>
      </w:r>
    </w:p>
    <w:p>
      <w:pPr>
        <w:spacing w:after="0" w:line="208" w:lineRule="exact"/>
        <w:rPr>
          <w:rFonts w:ascii="Times New Roman" w:cs="Times New Roman" w:eastAsia="Times New Roman" w:hAnsi="Times New Roman"/>
          <w:sz w:val="13"/>
          <w:szCs w:val="13"/>
          <w:color w:val="auto"/>
        </w:rPr>
      </w:pPr>
    </w:p>
    <w:p>
      <w:pPr>
        <w:ind w:firstLine="985"/>
        <w:spacing w:after="0" w:line="299" w:lineRule="auto"/>
        <w:tabs>
          <w:tab w:leader="none" w:pos="119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specifically modified or waived by this Amendment, the Agreement, shall remain in full force and effect and is hereby ratified and confirmed. The execution, delivery and performance of this Amendment shall not constitute a waiver of any provision of the Agreement, except as specifically provided herein.</w:t>
      </w:r>
    </w:p>
    <w:p>
      <w:pPr>
        <w:spacing w:after="0" w:line="208" w:lineRule="exact"/>
        <w:rPr>
          <w:rFonts w:ascii="Times New Roman" w:cs="Times New Roman" w:eastAsia="Times New Roman" w:hAnsi="Times New Roman"/>
          <w:sz w:val="13"/>
          <w:szCs w:val="13"/>
          <w:color w:val="auto"/>
        </w:rPr>
      </w:pPr>
    </w:p>
    <w:p>
      <w:pPr>
        <w:ind w:firstLine="985"/>
        <w:spacing w:after="0" w:line="321" w:lineRule="auto"/>
        <w:tabs>
          <w:tab w:leader="none" w:pos="120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and delivered in one or more counterparts and by fax, email or other electronic transmission, each of which shall be deemed an original and all of which shall be considered one and the same agreement.</w:t>
      </w:r>
    </w:p>
    <w:p>
      <w:pPr>
        <w:spacing w:after="0" w:line="194" w:lineRule="exact"/>
        <w:rPr>
          <w:rFonts w:ascii="Times New Roman" w:cs="Times New Roman" w:eastAsia="Times New Roman" w:hAnsi="Times New Roman"/>
          <w:sz w:val="13"/>
          <w:szCs w:val="13"/>
          <w:color w:val="auto"/>
        </w:rPr>
      </w:pPr>
    </w:p>
    <w:p>
      <w:pPr>
        <w:ind w:left="1460" w:hanging="475"/>
        <w:spacing w:after="0"/>
        <w:tabs>
          <w:tab w:leader="none" w:pos="14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construed in accordance with and governed by the Law of the State of Delaware.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040"/>
          </w:cols>
          <w:pgMar w:left="420" w:top="1440" w:right="439" w:bottom="1440" w:gutter="0" w:footer="0" w:header="0"/>
        </w:sectPr>
      </w:pPr>
    </w:p>
    <w:bookmarkStart w:id="50" w:name="page51"/>
    <w:bookmarkEnd w:id="50"/>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Amendment to be duly executed by their proper and duly authorized officers as of the day and year first above written.</w:t>
      </w:r>
    </w:p>
    <w:p>
      <w:pPr>
        <w:sectPr>
          <w:pgSz w:w="11900" w:h="16838" w:orient="portrait"/>
          <w:cols w:equalWidth="0" w:num="1">
            <w:col w:w="9780"/>
          </w:cols>
          <w:pgMar w:left="920" w:top="1440" w:right="1199" w:bottom="1440" w:gutter="0" w:footer="0" w:header="0"/>
        </w:sectPr>
      </w:pPr>
    </w:p>
    <w:p>
      <w:pPr>
        <w:spacing w:after="0" w:line="34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THE COMPANY</w:t>
      </w:r>
      <w:r>
        <w:rPr>
          <w:rFonts w:ascii="Times New Roman" w:cs="Times New Roman" w:eastAsia="Times New Roman" w:hAnsi="Times New Roman"/>
          <w:sz w:val="13"/>
          <w:szCs w:val="13"/>
          <w:color w:val="auto"/>
        </w:rPr>
        <w:t>: WAYSTAR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233045</wp:posOffset>
            </wp:positionV>
            <wp:extent cx="27857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3"/>
          <w:szCs w:val="13"/>
          <w:color w:val="auto"/>
        </w:rPr>
        <w:t>By:</w:t>
        <w:tab/>
        <w:t>/s/ Gregory R. Packer Name: Gregory R. Packer</w:t>
      </w:r>
    </w:p>
    <w:p>
      <w:pPr>
        <w:spacing w:after="0" w:line="13" w:lineRule="exact"/>
        <w:rPr>
          <w:sz w:val="20"/>
          <w:szCs w:val="20"/>
          <w:color w:val="auto"/>
        </w:rPr>
      </w:pPr>
    </w:p>
    <w:p>
      <w:pPr>
        <w:ind w:left="4200"/>
        <w:spacing w:after="0"/>
        <w:tabs>
          <w:tab w:leader="none" w:pos="4600" w:val="left"/>
        </w:tabs>
        <w:rPr>
          <w:sz w:val="20"/>
          <w:szCs w:val="20"/>
          <w:color w:val="auto"/>
        </w:rPr>
      </w:pPr>
      <w:r>
        <w:rPr>
          <w:rFonts w:ascii="Times New Roman" w:cs="Times New Roman" w:eastAsia="Times New Roman" w:hAnsi="Times New Roman"/>
          <w:sz w:val="13"/>
          <w:szCs w:val="13"/>
          <w:color w:val="auto"/>
        </w:rPr>
        <w:t>Title:</w:t>
        <w:tab/>
        <w:t>Chief Legal Officer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i w:val="1"/>
          <w:iCs w:val="1"/>
          <w:color w:val="auto"/>
        </w:rPr>
        <w:t>[Signature Page to Amendment No. 1 to the Stockholders Agreement]</w:t>
      </w:r>
    </w:p>
    <w:p>
      <w:pPr>
        <w:sectPr>
          <w:pgSz w:w="11900" w:h="16838" w:orient="portrait"/>
          <w:cols w:equalWidth="0" w:num="1">
            <w:col w:w="9780"/>
          </w:cols>
          <w:pgMar w:left="920" w:top="1440" w:right="1199" w:bottom="1440" w:gutter="0" w:footer="0" w:header="0"/>
          <w:type w:val="continuous"/>
        </w:sectPr>
      </w:pPr>
    </w:p>
    <w:bookmarkStart w:id="51" w:name="page52"/>
    <w:bookmarkEnd w:id="51"/>
    <w:p>
      <w:pPr>
        <w:spacing w:after="0" w:line="1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THE EQT STOCKHOLDERS:</w:t>
      </w:r>
    </w:p>
    <w:p>
      <w:pPr>
        <w:spacing w:after="0" w:line="2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DERBY LUXCO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341630</wp:posOffset>
            </wp:positionV>
            <wp:extent cx="27857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80"/>
        <w:spacing w:after="0"/>
        <w:tabs>
          <w:tab w:leader="none" w:pos="4000" w:val="left"/>
        </w:tabs>
        <w:rPr>
          <w:sz w:val="20"/>
          <w:szCs w:val="20"/>
          <w:color w:val="auto"/>
        </w:rPr>
      </w:pPr>
      <w:r>
        <w:rPr>
          <w:rFonts w:ascii="Times New Roman" w:cs="Times New Roman" w:eastAsia="Times New Roman" w:hAnsi="Times New Roman"/>
          <w:sz w:val="13"/>
          <w:szCs w:val="13"/>
          <w:color w:val="auto"/>
        </w:rPr>
        <w:t>By:</w:t>
        <w:tab/>
        <w:t>/s/ Loman Douvier Name: Loman Douvier</w:t>
      </w:r>
    </w:p>
    <w:p>
      <w:pPr>
        <w:spacing w:after="0" w:line="25" w:lineRule="exact"/>
        <w:rPr>
          <w:sz w:val="20"/>
          <w:szCs w:val="20"/>
          <w:color w:val="auto"/>
        </w:rPr>
      </w:pPr>
    </w:p>
    <w:p>
      <w:pPr>
        <w:ind w:left="3680"/>
        <w:spacing w:after="0"/>
        <w:tabs>
          <w:tab w:leader="none" w:pos="4080" w:val="left"/>
        </w:tabs>
        <w:rPr>
          <w:sz w:val="20"/>
          <w:szCs w:val="20"/>
          <w:color w:val="auto"/>
        </w:rPr>
      </w:pPr>
      <w:r>
        <w:rPr>
          <w:rFonts w:ascii="Times New Roman" w:cs="Times New Roman" w:eastAsia="Times New Roman" w:hAnsi="Times New Roman"/>
          <w:sz w:val="13"/>
          <w:szCs w:val="13"/>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334010</wp:posOffset>
            </wp:positionV>
            <wp:extent cx="27857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80"/>
        <w:spacing w:after="0"/>
        <w:tabs>
          <w:tab w:leader="none" w:pos="4000" w:val="left"/>
        </w:tabs>
        <w:rPr>
          <w:sz w:val="20"/>
          <w:szCs w:val="20"/>
          <w:color w:val="auto"/>
        </w:rPr>
      </w:pPr>
      <w:r>
        <w:rPr>
          <w:rFonts w:ascii="Times New Roman" w:cs="Times New Roman" w:eastAsia="Times New Roman" w:hAnsi="Times New Roman"/>
          <w:sz w:val="13"/>
          <w:szCs w:val="13"/>
          <w:color w:val="auto"/>
        </w:rPr>
        <w:t>By:</w:t>
        <w:tab/>
        <w:t>/s/ Sanjay Fullee Name: Sanjay Fullee</w:t>
      </w:r>
    </w:p>
    <w:p>
      <w:pPr>
        <w:spacing w:after="0" w:line="25" w:lineRule="exact"/>
        <w:rPr>
          <w:sz w:val="20"/>
          <w:szCs w:val="20"/>
          <w:color w:val="auto"/>
        </w:rPr>
      </w:pPr>
    </w:p>
    <w:p>
      <w:pPr>
        <w:ind w:left="3680"/>
        <w:spacing w:after="0"/>
        <w:tabs>
          <w:tab w:leader="none" w:pos="4080" w:val="left"/>
        </w:tabs>
        <w:rPr>
          <w:sz w:val="20"/>
          <w:szCs w:val="20"/>
          <w:color w:val="auto"/>
        </w:rPr>
      </w:pPr>
      <w:r>
        <w:rPr>
          <w:rFonts w:ascii="Times New Roman" w:cs="Times New Roman" w:eastAsia="Times New Roman" w:hAnsi="Times New Roman"/>
          <w:sz w:val="13"/>
          <w:szCs w:val="13"/>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Amendment No. 1 to the Stockholders Agreement]</w:t>
      </w:r>
    </w:p>
    <w:p>
      <w:pPr>
        <w:sectPr>
          <w:pgSz w:w="11900" w:h="16838" w:orient="portrait"/>
          <w:cols w:equalWidth="0" w:num="1">
            <w:col w:w="9019"/>
          </w:cols>
          <w:pgMar w:left="1440" w:top="1440" w:right="1440" w:bottom="1440" w:gutter="0" w:footer="0" w:header="0"/>
        </w:sectPr>
      </w:pPr>
    </w:p>
    <w:bookmarkStart w:id="52" w:name="page53"/>
    <w:bookmarkEnd w:id="52"/>
    <w:p>
      <w:pPr>
        <w:spacing w:after="0" w:line="16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THE CPPIB STOCKHOLDERS</w:t>
      </w:r>
      <w:r>
        <w:rPr>
          <w:rFonts w:ascii="Times New Roman" w:cs="Times New Roman" w:eastAsia="Times New Roman" w:hAnsi="Times New Roman"/>
          <w:sz w:val="13"/>
          <w:szCs w:val="13"/>
          <w:color w:val="auto"/>
        </w:rPr>
        <w:t>:</w:t>
      </w:r>
    </w:p>
    <w:p>
      <w:pPr>
        <w:spacing w:after="0" w:line="287"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3"/>
          <w:szCs w:val="13"/>
          <w:color w:val="auto"/>
        </w:rPr>
        <w:t>CPP INVESTMENT BOARD PRIVATE HOLDINGS (4)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341630</wp:posOffset>
            </wp:positionV>
            <wp:extent cx="27857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80"/>
        <w:spacing w:after="0"/>
        <w:tabs>
          <w:tab w:leader="none" w:pos="4000" w:val="left"/>
        </w:tabs>
        <w:rPr>
          <w:sz w:val="20"/>
          <w:szCs w:val="20"/>
          <w:color w:val="auto"/>
        </w:rPr>
      </w:pPr>
      <w:r>
        <w:rPr>
          <w:rFonts w:ascii="Times New Roman" w:cs="Times New Roman" w:eastAsia="Times New Roman" w:hAnsi="Times New Roman"/>
          <w:sz w:val="13"/>
          <w:szCs w:val="13"/>
          <w:color w:val="auto"/>
        </w:rPr>
        <w:t>By:</w:t>
        <w:tab/>
        <w:t>/s/ Sam Blaichman Name: Sam Blaichman</w:t>
      </w:r>
    </w:p>
    <w:p>
      <w:pPr>
        <w:spacing w:after="0" w:line="13" w:lineRule="exact"/>
        <w:rPr>
          <w:sz w:val="20"/>
          <w:szCs w:val="20"/>
          <w:color w:val="auto"/>
        </w:rPr>
      </w:pPr>
    </w:p>
    <w:p>
      <w:pPr>
        <w:ind w:left="3680"/>
        <w:spacing w:after="0"/>
        <w:tabs>
          <w:tab w:leader="none" w:pos="4080" w:val="left"/>
        </w:tabs>
        <w:rPr>
          <w:sz w:val="20"/>
          <w:szCs w:val="20"/>
          <w:color w:val="auto"/>
        </w:rPr>
      </w:pPr>
      <w:r>
        <w:rPr>
          <w:rFonts w:ascii="Times New Roman" w:cs="Times New Roman" w:eastAsia="Times New Roman" w:hAnsi="Times New Roman"/>
          <w:sz w:val="13"/>
          <w:szCs w:val="13"/>
          <w:color w:val="auto"/>
        </w:rPr>
        <w:t>Title:</w:t>
        <w:tab/>
        <w:t>Managing Director, Head of Direct Private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Amendment No. 1 to the Stockholders Agreement]</w:t>
      </w:r>
    </w:p>
    <w:p>
      <w:pPr>
        <w:sectPr>
          <w:pgSz w:w="11900" w:h="16838" w:orient="portrait"/>
          <w:cols w:equalWidth="0" w:num="1">
            <w:col w:w="9019"/>
          </w:cols>
          <w:pgMar w:left="1440" w:top="1440" w:right="1440" w:bottom="1440" w:gutter="0" w:footer="0" w:header="0"/>
        </w:sectPr>
      </w:pPr>
    </w:p>
    <w:bookmarkStart w:id="53" w:name="page54"/>
    <w:bookmarkEnd w:id="53"/>
    <w:p>
      <w:pPr>
        <w:spacing w:after="0" w:line="16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THE BAIN STOCKHOLDERS</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ind w:left="3680"/>
        <w:spacing w:after="0"/>
        <w:tabs>
          <w:tab w:leader="none" w:pos="5780" w:val="left"/>
        </w:tabs>
        <w:rPr>
          <w:sz w:val="20"/>
          <w:szCs w:val="20"/>
          <w:color w:val="auto"/>
        </w:rPr>
      </w:pPr>
      <w:r>
        <w:rPr>
          <w:rFonts w:ascii="Times New Roman" w:cs="Times New Roman" w:eastAsia="Times New Roman" w:hAnsi="Times New Roman"/>
          <w:sz w:val="13"/>
          <w:szCs w:val="13"/>
          <w:color w:val="auto"/>
        </w:rPr>
        <w:t>BCPE DERBY INVESTOR, LP By:</w:t>
        <w:tab/>
        <w:t>BCPE Derby GP,</w:t>
      </w:r>
    </w:p>
    <w:p>
      <w:pPr>
        <w:spacing w:after="0" w:line="22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LLC</w:t>
      </w:r>
    </w:p>
    <w:p>
      <w:pPr>
        <w:spacing w:after="0" w:line="134" w:lineRule="exact"/>
        <w:rPr>
          <w:sz w:val="20"/>
          <w:szCs w:val="20"/>
          <w:color w:val="auto"/>
        </w:rPr>
      </w:pPr>
    </w:p>
    <w:p>
      <w:pPr>
        <w:ind w:left="3680"/>
        <w:spacing w:after="0"/>
        <w:tabs>
          <w:tab w:leader="none" w:pos="3960" w:val="left"/>
        </w:tabs>
        <w:rPr>
          <w:sz w:val="20"/>
          <w:szCs w:val="20"/>
          <w:color w:val="auto"/>
        </w:rPr>
      </w:pPr>
      <w:r>
        <w:rPr>
          <w:rFonts w:ascii="Times New Roman" w:cs="Times New Roman" w:eastAsia="Times New Roman" w:hAnsi="Times New Roman"/>
          <w:sz w:val="13"/>
          <w:szCs w:val="13"/>
          <w:color w:val="auto"/>
        </w:rPr>
        <w:t>Its:</w:t>
        <w:tab/>
        <w:t>General Partner</w:t>
      </w:r>
    </w:p>
    <w:p>
      <w:pPr>
        <w:spacing w:after="0" w:line="269" w:lineRule="exact"/>
        <w:rPr>
          <w:sz w:val="20"/>
          <w:szCs w:val="20"/>
          <w:color w:val="auto"/>
        </w:rPr>
      </w:pPr>
    </w:p>
    <w:p>
      <w:pPr>
        <w:ind w:left="3680"/>
        <w:spacing w:after="0"/>
        <w:tabs>
          <w:tab w:leader="none" w:pos="4000" w:val="left"/>
          <w:tab w:leader="none" w:pos="5780" w:val="left"/>
        </w:tabs>
        <w:rPr>
          <w:sz w:val="20"/>
          <w:szCs w:val="20"/>
          <w:color w:val="auto"/>
        </w:rPr>
      </w:pPr>
      <w:r>
        <w:rPr>
          <w:rFonts w:ascii="Times New Roman" w:cs="Times New Roman" w:eastAsia="Times New Roman" w:hAnsi="Times New Roman"/>
          <w:sz w:val="13"/>
          <w:szCs w:val="13"/>
          <w:color w:val="auto"/>
        </w:rPr>
        <w:t>By:</w:t>
        <w:tab/>
        <w:t>Bain Capital Fund XI, L.P. Its:</w:t>
        <w:tab/>
        <w:t>Member</w:t>
      </w:r>
    </w:p>
    <w:p>
      <w:pPr>
        <w:spacing w:after="0" w:line="269" w:lineRule="exact"/>
        <w:rPr>
          <w:sz w:val="20"/>
          <w:szCs w:val="20"/>
          <w:color w:val="auto"/>
        </w:rPr>
      </w:pPr>
    </w:p>
    <w:p>
      <w:pPr>
        <w:jc w:val="right"/>
        <w:ind w:right="2199"/>
        <w:spacing w:after="0"/>
        <w:tabs>
          <w:tab w:leader="none" w:pos="2780" w:val="left"/>
          <w:tab w:leader="none" w:pos="840" w:val="left"/>
        </w:tabs>
        <w:rPr>
          <w:sz w:val="20"/>
          <w:szCs w:val="20"/>
          <w:color w:val="auto"/>
        </w:rPr>
      </w:pPr>
      <w:r>
        <w:rPr>
          <w:rFonts w:ascii="Times New Roman" w:cs="Times New Roman" w:eastAsia="Times New Roman" w:hAnsi="Times New Roman"/>
          <w:sz w:val="13"/>
          <w:szCs w:val="13"/>
          <w:color w:val="auto"/>
        </w:rPr>
        <w:t>By:</w:t>
        <w:tab/>
        <w:t>Bain Capital Partners XI, L.P. Its:</w:t>
        <w:tab/>
        <w:t>General Partner</w:t>
      </w:r>
    </w:p>
    <w:p>
      <w:pPr>
        <w:spacing w:after="0" w:line="269" w:lineRule="exact"/>
        <w:rPr>
          <w:sz w:val="20"/>
          <w:szCs w:val="20"/>
          <w:color w:val="auto"/>
        </w:rPr>
      </w:pPr>
    </w:p>
    <w:p>
      <w:pPr>
        <w:ind w:left="3680"/>
        <w:spacing w:after="0"/>
        <w:tabs>
          <w:tab w:leader="none" w:pos="4000" w:val="left"/>
          <w:tab w:leader="none" w:pos="5860" w:val="left"/>
        </w:tabs>
        <w:rPr>
          <w:sz w:val="20"/>
          <w:szCs w:val="20"/>
          <w:color w:val="auto"/>
        </w:rPr>
      </w:pPr>
      <w:r>
        <w:rPr>
          <w:rFonts w:ascii="Times New Roman" w:cs="Times New Roman" w:eastAsia="Times New Roman" w:hAnsi="Times New Roman"/>
          <w:sz w:val="13"/>
          <w:szCs w:val="13"/>
          <w:color w:val="auto"/>
        </w:rPr>
        <w:t>By:</w:t>
        <w:tab/>
        <w:t>Bain Capital Investors, LLC Its:</w:t>
        <w:tab/>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179070</wp:posOffset>
            </wp:positionV>
            <wp:extent cx="2785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57" w:lineRule="exact"/>
        <w:rPr>
          <w:sz w:val="20"/>
          <w:szCs w:val="20"/>
          <w:color w:val="auto"/>
        </w:rPr>
      </w:pPr>
    </w:p>
    <w:p>
      <w:pPr>
        <w:ind w:left="3680"/>
        <w:spacing w:after="0"/>
        <w:tabs>
          <w:tab w:leader="none" w:pos="4000" w:val="left"/>
        </w:tabs>
        <w:rPr>
          <w:sz w:val="20"/>
          <w:szCs w:val="20"/>
          <w:color w:val="auto"/>
        </w:rPr>
      </w:pPr>
      <w:r>
        <w:rPr>
          <w:rFonts w:ascii="Times New Roman" w:cs="Times New Roman" w:eastAsia="Times New Roman" w:hAnsi="Times New Roman"/>
          <w:sz w:val="13"/>
          <w:szCs w:val="13"/>
          <w:color w:val="auto"/>
        </w:rPr>
        <w:t>By:</w:t>
        <w:tab/>
        <w:t>/s/ Paul Moskowitz Name: Paul Moskowitz</w:t>
      </w:r>
    </w:p>
    <w:p>
      <w:pPr>
        <w:spacing w:after="0" w:line="25" w:lineRule="exact"/>
        <w:rPr>
          <w:sz w:val="20"/>
          <w:szCs w:val="20"/>
          <w:color w:val="auto"/>
        </w:rPr>
      </w:pPr>
    </w:p>
    <w:p>
      <w:pPr>
        <w:ind w:left="3680"/>
        <w:spacing w:after="0"/>
        <w:tabs>
          <w:tab w:leader="none" w:pos="4080" w:val="left"/>
        </w:tabs>
        <w:rPr>
          <w:sz w:val="20"/>
          <w:szCs w:val="20"/>
          <w:color w:val="auto"/>
        </w:rPr>
      </w:pPr>
      <w:r>
        <w:rPr>
          <w:rFonts w:ascii="Times New Roman" w:cs="Times New Roman" w:eastAsia="Times New Roman" w:hAnsi="Times New Roman"/>
          <w:sz w:val="13"/>
          <w:szCs w:val="13"/>
          <w:color w:val="auto"/>
        </w:rPr>
        <w:t>Title:</w:t>
        <w:tab/>
        <w:t>Authorized Signatory</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BCPE DERBY (DE) SPV, LP</w:t>
      </w:r>
    </w:p>
    <w:p>
      <w:pPr>
        <w:spacing w:after="0" w:line="283" w:lineRule="exact"/>
        <w:rPr>
          <w:sz w:val="20"/>
          <w:szCs w:val="20"/>
          <w:color w:val="auto"/>
        </w:rPr>
      </w:pPr>
    </w:p>
    <w:p>
      <w:pPr>
        <w:ind w:left="3680"/>
        <w:spacing w:after="0"/>
        <w:tabs>
          <w:tab w:leader="none" w:pos="4000" w:val="left"/>
        </w:tabs>
        <w:rPr>
          <w:sz w:val="20"/>
          <w:szCs w:val="20"/>
          <w:color w:val="auto"/>
        </w:rPr>
      </w:pPr>
      <w:r>
        <w:rPr>
          <w:rFonts w:ascii="Times New Roman" w:cs="Times New Roman" w:eastAsia="Times New Roman" w:hAnsi="Times New Roman"/>
          <w:sz w:val="13"/>
          <w:szCs w:val="13"/>
          <w:color w:val="auto"/>
        </w:rPr>
        <w:t>By:</w:t>
        <w:tab/>
        <w:t>BCPE Derby (DE) SPV (GP), LLC</w:t>
      </w:r>
    </w:p>
    <w:p>
      <w:pPr>
        <w:spacing w:after="0" w:line="25" w:lineRule="exact"/>
        <w:rPr>
          <w:sz w:val="20"/>
          <w:szCs w:val="20"/>
          <w:color w:val="auto"/>
        </w:rPr>
      </w:pPr>
    </w:p>
    <w:p>
      <w:pPr>
        <w:ind w:left="3680"/>
        <w:spacing w:after="0"/>
        <w:tabs>
          <w:tab w:leader="none" w:pos="3960" w:val="left"/>
        </w:tabs>
        <w:rPr>
          <w:sz w:val="20"/>
          <w:szCs w:val="20"/>
          <w:color w:val="auto"/>
        </w:rPr>
      </w:pPr>
      <w:r>
        <w:rPr>
          <w:rFonts w:ascii="Times New Roman" w:cs="Times New Roman" w:eastAsia="Times New Roman" w:hAnsi="Times New Roman"/>
          <w:sz w:val="13"/>
          <w:szCs w:val="13"/>
          <w:color w:val="auto"/>
        </w:rPr>
        <w:t>Its:</w:t>
        <w:tab/>
        <w:t>General Partner</w:t>
      </w:r>
    </w:p>
    <w:p>
      <w:pPr>
        <w:spacing w:after="0" w:line="270" w:lineRule="exact"/>
        <w:rPr>
          <w:sz w:val="20"/>
          <w:szCs w:val="20"/>
          <w:color w:val="auto"/>
        </w:rPr>
      </w:pPr>
    </w:p>
    <w:p>
      <w:pPr>
        <w:ind w:left="3680"/>
        <w:spacing w:after="0"/>
        <w:tabs>
          <w:tab w:leader="none" w:pos="4000" w:val="left"/>
          <w:tab w:leader="none" w:pos="5780" w:val="left"/>
        </w:tabs>
        <w:rPr>
          <w:sz w:val="20"/>
          <w:szCs w:val="20"/>
          <w:color w:val="auto"/>
        </w:rPr>
      </w:pPr>
      <w:r>
        <w:rPr>
          <w:rFonts w:ascii="Times New Roman" w:cs="Times New Roman" w:eastAsia="Times New Roman" w:hAnsi="Times New Roman"/>
          <w:sz w:val="13"/>
          <w:szCs w:val="13"/>
          <w:color w:val="auto"/>
        </w:rPr>
        <w:t>By:</w:t>
        <w:tab/>
        <w:t>Bain Capital Fund XI, L.P. Its:</w:t>
        <w:tab/>
        <w:t>Member</w:t>
      </w:r>
    </w:p>
    <w:p>
      <w:pPr>
        <w:spacing w:after="0" w:line="269" w:lineRule="exact"/>
        <w:rPr>
          <w:sz w:val="20"/>
          <w:szCs w:val="20"/>
          <w:color w:val="auto"/>
        </w:rPr>
      </w:pPr>
    </w:p>
    <w:p>
      <w:pPr>
        <w:jc w:val="right"/>
        <w:ind w:right="2199"/>
        <w:spacing w:after="0"/>
        <w:tabs>
          <w:tab w:leader="none" w:pos="2780" w:val="left"/>
          <w:tab w:leader="none" w:pos="840" w:val="left"/>
        </w:tabs>
        <w:rPr>
          <w:sz w:val="20"/>
          <w:szCs w:val="20"/>
          <w:color w:val="auto"/>
        </w:rPr>
      </w:pPr>
      <w:r>
        <w:rPr>
          <w:rFonts w:ascii="Times New Roman" w:cs="Times New Roman" w:eastAsia="Times New Roman" w:hAnsi="Times New Roman"/>
          <w:sz w:val="13"/>
          <w:szCs w:val="13"/>
          <w:color w:val="auto"/>
        </w:rPr>
        <w:t>By:</w:t>
        <w:tab/>
        <w:t>Bain Capital Partners XI, L.P. Its:</w:t>
        <w:tab/>
        <w:t>General Partner</w:t>
      </w:r>
    </w:p>
    <w:p>
      <w:pPr>
        <w:spacing w:after="0" w:line="269" w:lineRule="exact"/>
        <w:rPr>
          <w:sz w:val="20"/>
          <w:szCs w:val="20"/>
          <w:color w:val="auto"/>
        </w:rPr>
      </w:pPr>
    </w:p>
    <w:p>
      <w:pPr>
        <w:ind w:left="3680"/>
        <w:spacing w:after="0"/>
        <w:tabs>
          <w:tab w:leader="none" w:pos="4000" w:val="left"/>
          <w:tab w:leader="none" w:pos="5860" w:val="left"/>
        </w:tabs>
        <w:rPr>
          <w:sz w:val="20"/>
          <w:szCs w:val="20"/>
          <w:color w:val="auto"/>
        </w:rPr>
      </w:pPr>
      <w:r>
        <w:rPr>
          <w:rFonts w:ascii="Times New Roman" w:cs="Times New Roman" w:eastAsia="Times New Roman" w:hAnsi="Times New Roman"/>
          <w:sz w:val="13"/>
          <w:szCs w:val="13"/>
          <w:color w:val="auto"/>
        </w:rPr>
        <w:t>By:</w:t>
        <w:tab/>
        <w:t>Bain Capital Investors, LLC Its:</w:t>
        <w:tab/>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179070</wp:posOffset>
            </wp:positionV>
            <wp:extent cx="2785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44" w:lineRule="exact"/>
        <w:rPr>
          <w:sz w:val="20"/>
          <w:szCs w:val="20"/>
          <w:color w:val="auto"/>
        </w:rPr>
      </w:pPr>
    </w:p>
    <w:p>
      <w:pPr>
        <w:ind w:left="3680"/>
        <w:spacing w:after="0"/>
        <w:tabs>
          <w:tab w:leader="none" w:pos="4000" w:val="left"/>
        </w:tabs>
        <w:rPr>
          <w:sz w:val="20"/>
          <w:szCs w:val="20"/>
          <w:color w:val="auto"/>
        </w:rPr>
      </w:pPr>
      <w:r>
        <w:rPr>
          <w:rFonts w:ascii="Times New Roman" w:cs="Times New Roman" w:eastAsia="Times New Roman" w:hAnsi="Times New Roman"/>
          <w:sz w:val="13"/>
          <w:szCs w:val="13"/>
          <w:color w:val="auto"/>
        </w:rPr>
        <w:t>By:</w:t>
        <w:tab/>
        <w:t>/s/ Paul Moskowitz Name: Paul Moskowitz</w:t>
      </w:r>
    </w:p>
    <w:p>
      <w:pPr>
        <w:spacing w:after="0" w:line="26" w:lineRule="exact"/>
        <w:rPr>
          <w:sz w:val="20"/>
          <w:szCs w:val="20"/>
          <w:color w:val="auto"/>
        </w:rPr>
      </w:pPr>
    </w:p>
    <w:p>
      <w:pPr>
        <w:ind w:left="3680"/>
        <w:spacing w:after="0"/>
        <w:tabs>
          <w:tab w:leader="none" w:pos="4080" w:val="left"/>
        </w:tabs>
        <w:rPr>
          <w:sz w:val="20"/>
          <w:szCs w:val="20"/>
          <w:color w:val="auto"/>
        </w:rPr>
      </w:pPr>
      <w:r>
        <w:rPr>
          <w:rFonts w:ascii="Times New Roman" w:cs="Times New Roman" w:eastAsia="Times New Roman" w:hAnsi="Times New Roman"/>
          <w:sz w:val="13"/>
          <w:szCs w:val="13"/>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Amendment No. 1 to the Stockholders Agreement]</w:t>
      </w:r>
    </w:p>
    <w:p>
      <w:pPr>
        <w:sectPr>
          <w:pgSz w:w="11900" w:h="16838" w:orient="portrait"/>
          <w:cols w:equalWidth="0" w:num="1">
            <w:col w:w="9019"/>
          </w:cols>
          <w:pgMar w:left="1440" w:top="1440"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Matthew J. Hawkins,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Waystar Holding Corp.;</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340" w:right="200" w:hanging="332"/>
        <w:spacing w:after="0" w:line="266" w:lineRule="auto"/>
        <w:tabs>
          <w:tab w:leader="none" w:pos="3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160" w:hanging="332"/>
        <w:spacing w:after="0" w:line="282" w:lineRule="auto"/>
        <w:tabs>
          <w:tab w:leader="none" w:pos="3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360"/>
        <w:spacing w:after="0"/>
        <w:tabs>
          <w:tab w:leader="none" w:pos="5320" w:val="left"/>
          <w:tab w:leader="none" w:pos="578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34290</wp:posOffset>
            </wp:positionV>
            <wp:extent cx="3463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Matthew J. Hawkins</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Steven M. Oreskovich,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Waystar Holding Corp.;</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340" w:right="200" w:hanging="332"/>
        <w:spacing w:after="0" w:line="266" w:lineRule="auto"/>
        <w:tabs>
          <w:tab w:leader="none" w:pos="3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160" w:hanging="332"/>
        <w:spacing w:after="0" w:line="282"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36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8"/>
          <w:szCs w:val="18"/>
          <w:color w:val="auto"/>
        </w:rPr>
        <w:t>By:</w:t>
        <w:tab/>
        <w:t>/s/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Steven M. Oreskovich</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Waystar Holding Corp. (the “Company”) for the quarterly period ended June 30, 2025, as filed with the Securities and Exchange Commission on the date hereof (the “Report”), I, Matthew J. Hawkins, Chief Executive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36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3317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Matthew J. Hawkins</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6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14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Waystar Holding Corp. (the “Company”) for the quarterly period ended June 30, 2025, as filed with the Securities and Exchange Commission on the date hereof (the “Report”), I, Steven M. Oreskovich,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36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8"/>
          <w:szCs w:val="18"/>
          <w:color w:val="auto"/>
        </w:rPr>
        <w:t>By:</w:t>
        <w:tab/>
        <w:t>/s/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Steven M. Oreskovich</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Roman"/>
      <w:start w:val="2"/>
    </w:lvl>
  </w:abstractNum>
  <w:abstractNum w:abstractNumId="17">
    <w:nsid w:val="6763845E"/>
    <w:multiLevelType w:val="hybridMultilevel"/>
    <w:lvl w:ilvl="0">
      <w:lvlJc w:val="left"/>
      <w:lvlText w:val="(%1)"/>
      <w:numFmt w:val="lowerLetter"/>
      <w:start w:val="6"/>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jpeg"/><Relationship Id="rId69" Type="http://schemas.openxmlformats.org/officeDocument/2006/relationships/image" Target="media/image58.jpeg"/><Relationship Id="rId70" Type="http://schemas.openxmlformats.org/officeDocument/2006/relationships/image" Target="media/image59.jpeg"/><Relationship Id="rId71" Type="http://schemas.openxmlformats.org/officeDocument/2006/relationships/image" Target="media/image60.jpeg"/><Relationship Id="rId72" Type="http://schemas.openxmlformats.org/officeDocument/2006/relationships/image" Target="media/image61.jpeg"/><Relationship Id="rId73" Type="http://schemas.openxmlformats.org/officeDocument/2006/relationships/image" Target="media/image62.jpe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60" Type="http://schemas.openxmlformats.org/officeDocument/2006/relationships/hyperlink" Target="https://www.sec.gov/Archives/edgar/data/1990354/000110465924070058/tm2333808d17_ex4-1.htm" TargetMode="External"/><Relationship Id="rId61" Type="http://schemas.openxmlformats.org/officeDocument/2006/relationships/hyperlink" Target="https://www.sec.gov/Archives/edgar/data/1990354/000110465925056893/tm2517226d1_ex3-1.htm" TargetMode="External"/><Relationship Id="rId62" Type="http://schemas.openxmlformats.org/officeDocument/2006/relationships/hyperlink" Target="https://www.sec.gov/Archives/edgar/data/1990354/000110465924070058/tm2333808d17_ex4-2.htm" TargetMode="External"/><Relationship Id="rId64" Type="http://schemas.openxmlformats.org/officeDocument/2006/relationships/hyperlink" Target="https://www.sec.gov/Archives/edgar/data/1990354/000110465925047008/tm251473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2025-07-30T15:21:47Z</dcterms:created>
  <dcterms:modified xsi:type="dcterms:W3CDTF">2025-07-30T15:21:47Z</dcterms:modified>
</cp:coreProperties>
</file>